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4E36" w14:textId="437627FD" w:rsidR="00FC2521" w:rsidRPr="00A03679" w:rsidRDefault="00FC2521" w:rsidP="00A03679">
      <w:pPr>
        <w:tabs>
          <w:tab w:val="left" w:pos="7380"/>
        </w:tabs>
        <w:spacing w:after="0" w:line="240" w:lineRule="auto"/>
        <w:rPr>
          <w:b/>
          <w:bCs/>
          <w:sz w:val="20"/>
          <w:szCs w:val="20"/>
        </w:rPr>
      </w:pPr>
    </w:p>
    <w:p w14:paraId="2A25B00A" w14:textId="02DF4A13" w:rsidR="00FC2521" w:rsidRPr="00A03679" w:rsidRDefault="00FC2521" w:rsidP="00A03679">
      <w:pPr>
        <w:tabs>
          <w:tab w:val="left" w:pos="7380"/>
        </w:tabs>
        <w:spacing w:after="0" w:line="240" w:lineRule="auto"/>
        <w:rPr>
          <w:rFonts w:ascii="Brandon Grotesque Regular" w:hAnsi="Brandon Grotesque Regular"/>
          <w:b/>
          <w:bCs/>
          <w:sz w:val="20"/>
          <w:szCs w:val="20"/>
        </w:rPr>
      </w:pPr>
    </w:p>
    <w:p w14:paraId="4B297798" w14:textId="10DDE102" w:rsidR="00FC2521" w:rsidRPr="00A03679" w:rsidRDefault="00FC2521" w:rsidP="00A03679">
      <w:pPr>
        <w:tabs>
          <w:tab w:val="left" w:pos="7380"/>
        </w:tabs>
        <w:spacing w:after="0" w:line="240" w:lineRule="auto"/>
        <w:rPr>
          <w:rFonts w:ascii="Brandon Grotesque Regular" w:hAnsi="Brandon Grotesque Regular"/>
          <w:b/>
          <w:bCs/>
          <w:sz w:val="20"/>
          <w:szCs w:val="20"/>
        </w:rPr>
      </w:pPr>
    </w:p>
    <w:p w14:paraId="2B0DCB97" w14:textId="4B482CBB" w:rsidR="00FC2521" w:rsidRPr="00A03679" w:rsidRDefault="00FC2521" w:rsidP="00A03679">
      <w:pPr>
        <w:tabs>
          <w:tab w:val="left" w:pos="7380"/>
        </w:tabs>
        <w:spacing w:after="0" w:line="240" w:lineRule="auto"/>
        <w:rPr>
          <w:rFonts w:ascii="Brandon Grotesque Regular" w:hAnsi="Brandon Grotesque Regular"/>
          <w:b/>
          <w:bCs/>
          <w:sz w:val="20"/>
          <w:szCs w:val="20"/>
        </w:rPr>
      </w:pPr>
    </w:p>
    <w:p w14:paraId="2AE8E9B6" w14:textId="445AB48C" w:rsidR="00FC2521" w:rsidRPr="00A03679" w:rsidRDefault="00FC2521" w:rsidP="00A03679">
      <w:pPr>
        <w:tabs>
          <w:tab w:val="left" w:pos="7380"/>
        </w:tabs>
        <w:spacing w:after="0" w:line="240" w:lineRule="auto"/>
        <w:rPr>
          <w:rFonts w:ascii="Brandon Grotesque Regular" w:hAnsi="Brandon Grotesque Regular"/>
          <w:b/>
          <w:bCs/>
          <w:sz w:val="20"/>
          <w:szCs w:val="20"/>
        </w:rPr>
      </w:pPr>
    </w:p>
    <w:p w14:paraId="66CD38FF" w14:textId="6A107C2E" w:rsidR="00FC2521" w:rsidRPr="00A03679" w:rsidRDefault="00FC2521" w:rsidP="00A03679">
      <w:pPr>
        <w:tabs>
          <w:tab w:val="left" w:pos="7380"/>
        </w:tabs>
        <w:spacing w:after="0" w:line="240" w:lineRule="auto"/>
        <w:rPr>
          <w:rFonts w:ascii="Brandon Grotesque Regular" w:hAnsi="Brandon Grotesque Regular"/>
          <w:b/>
          <w:bCs/>
          <w:sz w:val="20"/>
          <w:szCs w:val="20"/>
        </w:rPr>
      </w:pPr>
    </w:p>
    <w:p w14:paraId="1578DFFB" w14:textId="59356FE8" w:rsidR="00FC2521" w:rsidRPr="00A03679" w:rsidRDefault="00FC2521" w:rsidP="00A03679">
      <w:pPr>
        <w:tabs>
          <w:tab w:val="left" w:pos="7380"/>
        </w:tabs>
        <w:spacing w:after="0" w:line="240" w:lineRule="auto"/>
        <w:rPr>
          <w:rFonts w:ascii="Brandon Grotesque Regular" w:hAnsi="Brandon Grotesque Regular"/>
          <w:b/>
          <w:bCs/>
          <w:sz w:val="20"/>
          <w:szCs w:val="20"/>
        </w:rPr>
      </w:pPr>
    </w:p>
    <w:p w14:paraId="7212FB4F" w14:textId="77777777" w:rsidR="00FC2521" w:rsidRPr="00A03679" w:rsidRDefault="00FC2521" w:rsidP="00A03679">
      <w:pPr>
        <w:tabs>
          <w:tab w:val="left" w:pos="7380"/>
        </w:tabs>
        <w:spacing w:after="0" w:line="240" w:lineRule="auto"/>
        <w:rPr>
          <w:rFonts w:ascii="Brandon Grotesque Regular" w:hAnsi="Brandon Grotesque Regular"/>
          <w:b/>
          <w:bCs/>
          <w:sz w:val="48"/>
          <w:szCs w:val="48"/>
        </w:rPr>
      </w:pPr>
    </w:p>
    <w:p w14:paraId="4F59844C" w14:textId="77777777" w:rsidR="00BE3CCB" w:rsidRPr="00A03679" w:rsidRDefault="00BE3CCB" w:rsidP="00A03679">
      <w:pPr>
        <w:pStyle w:val="NoParagraphStyle"/>
        <w:spacing w:line="240" w:lineRule="auto"/>
        <w:rPr>
          <w:rFonts w:ascii="Brandon Grotesque Regular" w:hAnsi="Brandon Grotesque Regular" w:cs="Arial"/>
          <w:color w:val="000000" w:themeColor="text1"/>
          <w:sz w:val="48"/>
          <w:szCs w:val="48"/>
        </w:rPr>
      </w:pPr>
      <w:r w:rsidRPr="00A03679">
        <w:rPr>
          <w:rFonts w:ascii="Brandon Grotesque Regular" w:hAnsi="Brandon Grotesque Regular" w:cs="Arial"/>
          <w:color w:val="000000" w:themeColor="text1"/>
          <w:sz w:val="48"/>
          <w:szCs w:val="48"/>
        </w:rPr>
        <w:t>Pepper Money Limited</w:t>
      </w:r>
    </w:p>
    <w:p w14:paraId="383531AD" w14:textId="77777777" w:rsidR="00BE3CCB" w:rsidRPr="00A03679" w:rsidRDefault="00BE3CCB" w:rsidP="00A03679">
      <w:pPr>
        <w:pStyle w:val="NoParagraphStyle"/>
        <w:spacing w:line="240" w:lineRule="auto"/>
        <w:rPr>
          <w:rFonts w:ascii="Brandon Grotesque Regular" w:hAnsi="Brandon Grotesque Regular" w:cs="Arial"/>
          <w:color w:val="000000" w:themeColor="text1"/>
          <w:sz w:val="48"/>
          <w:szCs w:val="48"/>
        </w:rPr>
      </w:pPr>
      <w:bookmarkStart w:id="0" w:name="_Hlk101257235"/>
    </w:p>
    <w:p w14:paraId="6BBF7A0F" w14:textId="27F1D125" w:rsidR="00BE3CCB" w:rsidRPr="00A03679" w:rsidRDefault="00BE3CCB" w:rsidP="00A03679">
      <w:pPr>
        <w:pStyle w:val="NoParagraphStyle"/>
        <w:spacing w:line="240" w:lineRule="auto"/>
        <w:rPr>
          <w:rFonts w:ascii="Brandon Grotesque Regular" w:hAnsi="Brandon Grotesque Regular" w:cs="Arial"/>
          <w:color w:val="000000" w:themeColor="text1"/>
          <w:sz w:val="48"/>
          <w:szCs w:val="48"/>
        </w:rPr>
      </w:pPr>
      <w:r w:rsidRPr="00A03679">
        <w:rPr>
          <w:rFonts w:ascii="Brandon Grotesque Regular" w:hAnsi="Brandon Grotesque Regular" w:cs="Arial"/>
          <w:color w:val="000000" w:themeColor="text1"/>
          <w:sz w:val="48"/>
          <w:szCs w:val="48"/>
        </w:rPr>
        <w:t>202</w:t>
      </w:r>
      <w:r w:rsidR="00F244AB">
        <w:rPr>
          <w:rFonts w:ascii="Brandon Grotesque Regular" w:hAnsi="Brandon Grotesque Regular" w:cs="Arial"/>
          <w:color w:val="000000" w:themeColor="text1"/>
          <w:sz w:val="48"/>
          <w:szCs w:val="48"/>
        </w:rPr>
        <w:t xml:space="preserve">5 </w:t>
      </w:r>
      <w:r w:rsidR="00C27053">
        <w:rPr>
          <w:rFonts w:ascii="Brandon Grotesque Regular" w:hAnsi="Brandon Grotesque Regular" w:cs="Arial"/>
          <w:color w:val="000000" w:themeColor="text1"/>
          <w:sz w:val="48"/>
          <w:szCs w:val="48"/>
        </w:rPr>
        <w:t>Full</w:t>
      </w:r>
      <w:r w:rsidR="00EB3E80" w:rsidRPr="00A03679">
        <w:rPr>
          <w:rFonts w:ascii="Brandon Grotesque Regular" w:hAnsi="Brandon Grotesque Regular" w:cs="Arial"/>
          <w:color w:val="000000" w:themeColor="text1"/>
          <w:sz w:val="48"/>
          <w:szCs w:val="48"/>
        </w:rPr>
        <w:t xml:space="preserve"> Year </w:t>
      </w:r>
      <w:r w:rsidRPr="00A03679">
        <w:rPr>
          <w:rFonts w:ascii="Brandon Grotesque Regular" w:hAnsi="Brandon Grotesque Regular" w:cs="Arial"/>
          <w:color w:val="000000" w:themeColor="text1"/>
          <w:sz w:val="48"/>
          <w:szCs w:val="48"/>
        </w:rPr>
        <w:t>Results Presentation</w:t>
      </w:r>
    </w:p>
    <w:p w14:paraId="71289CC9" w14:textId="0F96C6A4" w:rsidR="00DF734C" w:rsidRPr="00A03679" w:rsidRDefault="00DF734C" w:rsidP="00A03679">
      <w:pPr>
        <w:pStyle w:val="NoParagraphStyle"/>
        <w:spacing w:line="240" w:lineRule="auto"/>
        <w:rPr>
          <w:rFonts w:ascii="Brandon Grotesque Regular" w:hAnsi="Brandon Grotesque Regular" w:cs="Arial"/>
          <w:color w:val="000000" w:themeColor="text1"/>
          <w:sz w:val="48"/>
          <w:szCs w:val="48"/>
        </w:rPr>
      </w:pPr>
      <w:r w:rsidRPr="00A03679">
        <w:rPr>
          <w:rFonts w:ascii="Brandon Grotesque Regular" w:hAnsi="Brandon Grotesque Regular" w:cs="Arial"/>
          <w:color w:val="000000" w:themeColor="text1"/>
          <w:sz w:val="48"/>
          <w:szCs w:val="48"/>
        </w:rPr>
        <w:t>Script</w:t>
      </w:r>
    </w:p>
    <w:p w14:paraId="2BBA84D7" w14:textId="77777777" w:rsidR="00BE3CCB" w:rsidRPr="00A03679" w:rsidRDefault="00BE3CCB" w:rsidP="00A03679">
      <w:pPr>
        <w:pStyle w:val="NoParagraphStyle"/>
        <w:spacing w:line="240" w:lineRule="auto"/>
        <w:jc w:val="center"/>
        <w:rPr>
          <w:rFonts w:ascii="Brandon Grotesque Regular" w:hAnsi="Brandon Grotesque Regular" w:cs="Arial"/>
          <w:color w:val="000000" w:themeColor="text1"/>
          <w:sz w:val="48"/>
          <w:szCs w:val="48"/>
        </w:rPr>
      </w:pPr>
    </w:p>
    <w:p w14:paraId="2D86FB75" w14:textId="77777777" w:rsidR="00BE3CCB" w:rsidRPr="00A03679" w:rsidRDefault="00BE3CCB" w:rsidP="00A03679">
      <w:pPr>
        <w:pStyle w:val="NoParagraphStyle"/>
        <w:spacing w:line="240" w:lineRule="auto"/>
        <w:jc w:val="center"/>
        <w:rPr>
          <w:rFonts w:ascii="Brandon Grotesque Regular" w:hAnsi="Brandon Grotesque Regular" w:cs="Arial"/>
          <w:color w:val="000000" w:themeColor="text1"/>
          <w:sz w:val="48"/>
          <w:szCs w:val="48"/>
        </w:rPr>
      </w:pPr>
    </w:p>
    <w:p w14:paraId="2E6978B1" w14:textId="77777777" w:rsidR="00BE3CCB" w:rsidRPr="00A03679" w:rsidRDefault="00BE3CCB" w:rsidP="00A03679">
      <w:pPr>
        <w:pStyle w:val="NoParagraphStyle"/>
        <w:spacing w:line="240" w:lineRule="auto"/>
        <w:jc w:val="center"/>
        <w:rPr>
          <w:rFonts w:ascii="Brandon Grotesque Regular" w:hAnsi="Brandon Grotesque Regular" w:cs="Arial"/>
          <w:color w:val="000000" w:themeColor="text1"/>
          <w:sz w:val="48"/>
          <w:szCs w:val="48"/>
        </w:rPr>
      </w:pPr>
    </w:p>
    <w:p w14:paraId="1EB88B47" w14:textId="77777777" w:rsidR="00EA6F5F" w:rsidRPr="00A03679" w:rsidRDefault="00EA6F5F" w:rsidP="00A03679">
      <w:pPr>
        <w:pStyle w:val="NoParagraphStyle"/>
        <w:spacing w:line="240" w:lineRule="auto"/>
        <w:rPr>
          <w:rFonts w:ascii="Brandon Grotesque Regular" w:hAnsi="Brandon Grotesque Regular" w:cs="Arial"/>
          <w:b/>
          <w:bCs/>
          <w:color w:val="000000" w:themeColor="text1"/>
          <w:sz w:val="48"/>
          <w:szCs w:val="48"/>
        </w:rPr>
      </w:pPr>
    </w:p>
    <w:p w14:paraId="663EBF9B" w14:textId="60CFB8D5" w:rsidR="00BE3CCB" w:rsidRPr="00A03679" w:rsidRDefault="00EA6F5F" w:rsidP="00A03679">
      <w:pPr>
        <w:pStyle w:val="NoParagraphStyle"/>
        <w:spacing w:line="240" w:lineRule="auto"/>
        <w:rPr>
          <w:rFonts w:ascii="Brandon Grotesque Regular" w:hAnsi="Brandon Grotesque Regular" w:cs="Arial"/>
          <w:b/>
          <w:bCs/>
          <w:color w:val="000000" w:themeColor="text1"/>
          <w:sz w:val="48"/>
          <w:szCs w:val="48"/>
        </w:rPr>
      </w:pPr>
      <w:r w:rsidRPr="00A03679">
        <w:rPr>
          <w:rFonts w:ascii="Brandon Grotesque Regular" w:hAnsi="Brandon Grotesque Regular" w:cs="Arial"/>
          <w:b/>
          <w:bCs/>
          <w:color w:val="000000" w:themeColor="text1"/>
          <w:sz w:val="48"/>
          <w:szCs w:val="48"/>
        </w:rPr>
        <w:t xml:space="preserve">Results: </w:t>
      </w:r>
      <w:r w:rsidR="0012343F" w:rsidRPr="00A03679">
        <w:rPr>
          <w:rFonts w:ascii="Brandon Grotesque Regular" w:hAnsi="Brandon Grotesque Regular" w:cs="Arial"/>
          <w:b/>
          <w:bCs/>
          <w:color w:val="000000" w:themeColor="text1"/>
          <w:sz w:val="48"/>
          <w:szCs w:val="48"/>
        </w:rPr>
        <w:t xml:space="preserve">Thursday </w:t>
      </w:r>
      <w:r w:rsidR="00C27053">
        <w:rPr>
          <w:rFonts w:ascii="Brandon Grotesque Regular" w:hAnsi="Brandon Grotesque Regular" w:cs="Arial"/>
          <w:b/>
          <w:bCs/>
          <w:color w:val="000000" w:themeColor="text1"/>
          <w:sz w:val="48"/>
          <w:szCs w:val="48"/>
        </w:rPr>
        <w:t>19 February 202</w:t>
      </w:r>
      <w:r w:rsidR="00665436">
        <w:rPr>
          <w:rFonts w:ascii="Brandon Grotesque Regular" w:hAnsi="Brandon Grotesque Regular" w:cs="Arial"/>
          <w:b/>
          <w:bCs/>
          <w:color w:val="000000" w:themeColor="text1"/>
          <w:sz w:val="48"/>
          <w:szCs w:val="48"/>
        </w:rPr>
        <w:t>6</w:t>
      </w:r>
    </w:p>
    <w:p w14:paraId="10499725" w14:textId="77777777" w:rsidR="00BE3CCB" w:rsidRPr="00A03679" w:rsidRDefault="00BE3CCB" w:rsidP="00A03679">
      <w:pPr>
        <w:pStyle w:val="NoParagraphStyle"/>
        <w:spacing w:line="240" w:lineRule="auto"/>
        <w:jc w:val="center"/>
        <w:rPr>
          <w:rFonts w:ascii="Brandon Grotesque Regular" w:hAnsi="Brandon Grotesque Regular" w:cs="Arial"/>
          <w:color w:val="000000" w:themeColor="text1"/>
          <w:sz w:val="20"/>
          <w:szCs w:val="20"/>
        </w:rPr>
      </w:pPr>
    </w:p>
    <w:p w14:paraId="72382740" w14:textId="77777777" w:rsidR="00BE3CCB" w:rsidRPr="00A03679" w:rsidRDefault="00BE3CCB" w:rsidP="00A03679">
      <w:pPr>
        <w:pStyle w:val="NoParagraphStyle"/>
        <w:spacing w:line="240" w:lineRule="auto"/>
        <w:jc w:val="center"/>
        <w:rPr>
          <w:rFonts w:ascii="Brandon Grotesque Regular" w:hAnsi="Brandon Grotesque Regular" w:cs="Arial"/>
          <w:color w:val="000000" w:themeColor="text1"/>
          <w:sz w:val="20"/>
          <w:szCs w:val="20"/>
        </w:rPr>
      </w:pPr>
    </w:p>
    <w:p w14:paraId="6F46C705" w14:textId="77777777" w:rsidR="00BE3CCB" w:rsidRPr="00A03679" w:rsidRDefault="00BE3CCB" w:rsidP="00A03679">
      <w:pPr>
        <w:pStyle w:val="NoParagraphStyle"/>
        <w:spacing w:line="240" w:lineRule="auto"/>
        <w:jc w:val="center"/>
        <w:rPr>
          <w:rFonts w:ascii="Brandon Grotesque Regular" w:hAnsi="Brandon Grotesque Regular" w:cs="Arial"/>
          <w:color w:val="000000" w:themeColor="text1"/>
          <w:sz w:val="20"/>
          <w:szCs w:val="20"/>
        </w:rPr>
      </w:pPr>
    </w:p>
    <w:p w14:paraId="094E05ED" w14:textId="77777777" w:rsidR="00BE3CCB" w:rsidRPr="00A03679" w:rsidRDefault="00BE3CCB" w:rsidP="00A03679">
      <w:pPr>
        <w:pStyle w:val="NoParagraphStyle"/>
        <w:spacing w:line="240" w:lineRule="auto"/>
        <w:jc w:val="center"/>
        <w:rPr>
          <w:rFonts w:ascii="Brandon Grotesque Regular" w:hAnsi="Brandon Grotesque Regular" w:cs="Arial"/>
          <w:color w:val="000000" w:themeColor="text1"/>
          <w:sz w:val="20"/>
          <w:szCs w:val="20"/>
        </w:rPr>
      </w:pPr>
    </w:p>
    <w:p w14:paraId="1146195C" w14:textId="77777777" w:rsidR="00BE3CCB" w:rsidRPr="00A03679" w:rsidRDefault="00BE3CCB" w:rsidP="00A03679">
      <w:pPr>
        <w:pStyle w:val="NoParagraphStyle"/>
        <w:spacing w:line="240" w:lineRule="auto"/>
        <w:jc w:val="center"/>
        <w:rPr>
          <w:rFonts w:ascii="Brandon Grotesque Regular" w:hAnsi="Brandon Grotesque Regular" w:cs="Arial"/>
          <w:color w:val="000000" w:themeColor="text1"/>
          <w:sz w:val="20"/>
          <w:szCs w:val="20"/>
        </w:rPr>
      </w:pPr>
      <w:r w:rsidRPr="00A03679">
        <w:rPr>
          <w:rFonts w:ascii="Brandon Grotesque Regular" w:hAnsi="Brandon Grotesque Regular" w:cs="Arial"/>
          <w:color w:val="000000" w:themeColor="text1"/>
          <w:sz w:val="20"/>
          <w:szCs w:val="20"/>
        </w:rPr>
        <w:br w:type="page"/>
      </w:r>
    </w:p>
    <w:bookmarkEnd w:id="0"/>
    <w:p w14:paraId="6A15266F" w14:textId="0E251027" w:rsidR="00EB3E80" w:rsidRPr="00836A85" w:rsidRDefault="00EB3E80"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b/>
          <w:bCs/>
          <w:caps/>
          <w:color w:val="002060"/>
          <w:spacing w:val="80"/>
          <w:sz w:val="22"/>
          <w:szCs w:val="22"/>
          <w:lang w:val="en-GB" w:bidi="ar-SA"/>
        </w:rPr>
      </w:pPr>
      <w:r w:rsidRPr="008B1D13">
        <w:rPr>
          <w:rFonts w:ascii="Brandon Grotesque Regular" w:eastAsiaTheme="minorEastAsia" w:hAnsi="Brandon Grotesque Regular"/>
          <w:b/>
          <w:bCs/>
          <w:caps/>
          <w:color w:val="002060"/>
          <w:spacing w:val="80"/>
          <w:lang w:val="en-GB" w:bidi="ar-SA"/>
        </w:rPr>
        <w:lastRenderedPageBreak/>
        <w:t xml:space="preserve">SLIDE </w:t>
      </w:r>
      <w:r w:rsidR="008B1D13" w:rsidRPr="00836A85">
        <w:rPr>
          <w:rFonts w:ascii="Brandon Grotesque Regular" w:eastAsiaTheme="minorEastAsia" w:hAnsi="Brandon Grotesque Regular"/>
          <w:b/>
          <w:bCs/>
          <w:caps/>
          <w:color w:val="002060"/>
          <w:spacing w:val="80"/>
          <w:sz w:val="22"/>
          <w:szCs w:val="22"/>
          <w:lang w:val="en-GB" w:bidi="ar-SA"/>
        </w:rPr>
        <w:t xml:space="preserve">NUMBER </w:t>
      </w:r>
      <w:r w:rsidRPr="00836A85">
        <w:rPr>
          <w:rFonts w:ascii="Brandon Grotesque Regular" w:eastAsiaTheme="minorEastAsia" w:hAnsi="Brandon Grotesque Regular"/>
          <w:b/>
          <w:bCs/>
          <w:caps/>
          <w:color w:val="002060"/>
          <w:spacing w:val="80"/>
          <w:sz w:val="22"/>
          <w:szCs w:val="22"/>
          <w:lang w:val="en-GB" w:bidi="ar-SA"/>
        </w:rPr>
        <w:t>2</w:t>
      </w:r>
    </w:p>
    <w:p w14:paraId="158ADAF4" w14:textId="18C629D9" w:rsidR="00F244AB" w:rsidRPr="00836A85" w:rsidRDefault="00F244AB" w:rsidP="00836A85">
      <w:pPr>
        <w:spacing w:before="60" w:after="60" w:line="240" w:lineRule="auto"/>
        <w:jc w:val="both"/>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Good morning, everyone and welcome to Pepper Money Limited’s 2025 </w:t>
      </w:r>
      <w:r w:rsidR="00665436" w:rsidRPr="00836A85">
        <w:rPr>
          <w:rFonts w:ascii="Brandon Grotesque Regular" w:eastAsiaTheme="minorEastAsia" w:hAnsi="Brandon Grotesque Regular" w:cstheme="minorHAnsi"/>
          <w:color w:val="000000" w:themeColor="text1"/>
          <w:sz w:val="22"/>
          <w:szCs w:val="22"/>
          <w:lang w:val="en-GB" w:bidi="ar-SA"/>
        </w:rPr>
        <w:t xml:space="preserve">full </w:t>
      </w:r>
      <w:r w:rsidRPr="00836A85">
        <w:rPr>
          <w:rFonts w:ascii="Brandon Grotesque Regular" w:eastAsiaTheme="minorEastAsia" w:hAnsi="Brandon Grotesque Regular" w:cstheme="minorHAnsi"/>
          <w:color w:val="000000" w:themeColor="text1"/>
          <w:sz w:val="22"/>
          <w:szCs w:val="22"/>
          <w:lang w:val="en-GB" w:bidi="ar-SA"/>
        </w:rPr>
        <w:t xml:space="preserve">year results presentation. </w:t>
      </w:r>
    </w:p>
    <w:p w14:paraId="7C6C47F9" w14:textId="77777777" w:rsidR="00F244AB" w:rsidRPr="00836A85" w:rsidRDefault="00F244AB" w:rsidP="00836A85">
      <w:pPr>
        <w:spacing w:before="60" w:after="60" w:line="240" w:lineRule="auto"/>
        <w:jc w:val="both"/>
        <w:rPr>
          <w:rFonts w:ascii="Brandon Grotesque Regular" w:eastAsiaTheme="minorEastAsia" w:hAnsi="Brandon Grotesque Regular" w:cstheme="minorHAnsi"/>
          <w:color w:val="000000" w:themeColor="text1"/>
          <w:sz w:val="22"/>
          <w:szCs w:val="22"/>
          <w:lang w:val="en-GB" w:bidi="ar-SA"/>
        </w:rPr>
      </w:pPr>
    </w:p>
    <w:p w14:paraId="0B2B7768" w14:textId="5240A428" w:rsidR="00EB3E80" w:rsidRPr="00836A85" w:rsidRDefault="00F244AB" w:rsidP="00836A85">
      <w:pPr>
        <w:spacing w:before="60" w:after="60" w:line="240" w:lineRule="auto"/>
        <w:jc w:val="both"/>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My name is Gordon Livingstone - Investor Relations at Pepper Money </w:t>
      </w:r>
    </w:p>
    <w:p w14:paraId="1D908648" w14:textId="77777777" w:rsidR="00EB3E80" w:rsidRPr="00836A85" w:rsidRDefault="00EB3E80" w:rsidP="00836A85">
      <w:pPr>
        <w:pStyle w:val="ListParagraph"/>
        <w:spacing w:before="60" w:after="60" w:line="240" w:lineRule="auto"/>
        <w:ind w:left="0"/>
        <w:jc w:val="both"/>
        <w:rPr>
          <w:rFonts w:ascii="Brandon Grotesque Regular" w:eastAsiaTheme="minorEastAsia" w:hAnsi="Brandon Grotesque Regular" w:cstheme="minorHAnsi"/>
          <w:color w:val="000000" w:themeColor="text1"/>
          <w:sz w:val="22"/>
          <w:szCs w:val="22"/>
          <w:lang w:val="en-GB" w:bidi="ar-SA"/>
        </w:rPr>
      </w:pPr>
    </w:p>
    <w:p w14:paraId="4C7C4628" w14:textId="1419828D" w:rsidR="00EB3E80" w:rsidRPr="00836A85" w:rsidRDefault="00EB3E80" w:rsidP="00836A85">
      <w:pPr>
        <w:spacing w:before="60" w:after="60" w:line="240" w:lineRule="auto"/>
        <w:jc w:val="both"/>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I would like to begin by acknowledging the traditional custodians of the land on which we meet today, the Gadigal people of the Eora Nation. We pay our respects to each of their Elders, past</w:t>
      </w:r>
      <w:r w:rsidR="00C60E09" w:rsidRPr="00836A85">
        <w:rPr>
          <w:rFonts w:ascii="Brandon Grotesque Regular" w:eastAsiaTheme="minorEastAsia" w:hAnsi="Brandon Grotesque Regular" w:cstheme="minorHAnsi"/>
          <w:color w:val="000000" w:themeColor="text1"/>
          <w:sz w:val="22"/>
          <w:szCs w:val="22"/>
          <w:lang w:val="en-GB" w:bidi="ar-SA"/>
        </w:rPr>
        <w:t xml:space="preserve"> and</w:t>
      </w:r>
      <w:r w:rsidRPr="00836A85">
        <w:rPr>
          <w:rFonts w:ascii="Brandon Grotesque Regular" w:eastAsiaTheme="minorEastAsia" w:hAnsi="Brandon Grotesque Regular" w:cstheme="minorHAnsi"/>
          <w:color w:val="000000" w:themeColor="text1"/>
          <w:sz w:val="22"/>
          <w:szCs w:val="22"/>
          <w:lang w:val="en-GB" w:bidi="ar-SA"/>
        </w:rPr>
        <w:t xml:space="preserve"> present</w:t>
      </w:r>
      <w:r w:rsidR="00C60E09" w:rsidRPr="00836A85">
        <w:rPr>
          <w:rFonts w:ascii="Brandon Grotesque Regular" w:eastAsiaTheme="minorEastAsia" w:hAnsi="Brandon Grotesque Regular" w:cstheme="minorHAnsi"/>
          <w:color w:val="000000" w:themeColor="text1"/>
          <w:sz w:val="22"/>
          <w:szCs w:val="22"/>
          <w:lang w:val="en-GB" w:bidi="ar-SA"/>
        </w:rPr>
        <w:t>.</w:t>
      </w:r>
    </w:p>
    <w:p w14:paraId="18F6669E" w14:textId="7FACB698" w:rsidR="00073425" w:rsidRPr="00836A85" w:rsidRDefault="00073425" w:rsidP="00836A85">
      <w:pPr>
        <w:spacing w:before="60" w:after="60" w:line="240" w:lineRule="auto"/>
        <w:rPr>
          <w:rFonts w:ascii="Brandon Grotesque Regular" w:eastAsiaTheme="minorEastAsia" w:hAnsi="Brandon Grotesque Regular"/>
          <w:b/>
          <w:bCs/>
          <w:caps/>
          <w:color w:val="002060"/>
          <w:spacing w:val="80"/>
          <w:sz w:val="22"/>
          <w:szCs w:val="22"/>
          <w:lang w:val="en-GB" w:bidi="ar-SA"/>
        </w:rPr>
      </w:pPr>
    </w:p>
    <w:p w14:paraId="36838E5C" w14:textId="44EB1451" w:rsidR="00291D3F" w:rsidRPr="00836A85" w:rsidRDefault="00EB3E80"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caps/>
          <w:noProof/>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t>S</w:t>
      </w:r>
      <w:r w:rsidR="00291D3F" w:rsidRPr="00836A85">
        <w:rPr>
          <w:rFonts w:ascii="Brandon Grotesque Regular" w:eastAsiaTheme="minorEastAsia" w:hAnsi="Brandon Grotesque Regular"/>
          <w:b/>
          <w:bCs/>
          <w:caps/>
          <w:color w:val="002060"/>
          <w:spacing w:val="80"/>
          <w:sz w:val="22"/>
          <w:szCs w:val="22"/>
          <w:lang w:val="en-GB" w:bidi="ar-SA"/>
        </w:rPr>
        <w:t xml:space="preserve">lide number </w:t>
      </w:r>
      <w:r w:rsidRPr="00836A85">
        <w:rPr>
          <w:rFonts w:ascii="Brandon Grotesque Regular" w:eastAsiaTheme="minorEastAsia" w:hAnsi="Brandon Grotesque Regular"/>
          <w:b/>
          <w:bCs/>
          <w:caps/>
          <w:color w:val="002060"/>
          <w:spacing w:val="80"/>
          <w:sz w:val="22"/>
          <w:szCs w:val="22"/>
          <w:lang w:val="en-GB" w:bidi="ar-SA"/>
        </w:rPr>
        <w:t>3</w:t>
      </w:r>
    </w:p>
    <w:p w14:paraId="089F08AE" w14:textId="1FE5EDD1" w:rsidR="00EB3E80" w:rsidRPr="00836A85" w:rsidRDefault="00DB28A7" w:rsidP="00836A85">
      <w:pPr>
        <w:spacing w:before="60" w:after="60" w:line="240" w:lineRule="auto"/>
        <w:jc w:val="both"/>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Today, </w:t>
      </w:r>
      <w:r w:rsidR="002452AA" w:rsidRPr="00836A85">
        <w:rPr>
          <w:rFonts w:ascii="Brandon Grotesque Regular" w:eastAsiaTheme="minorEastAsia" w:hAnsi="Brandon Grotesque Regular" w:cstheme="minorHAnsi"/>
          <w:color w:val="000000" w:themeColor="text1"/>
          <w:sz w:val="22"/>
          <w:szCs w:val="22"/>
          <w:lang w:val="en-GB" w:bidi="ar-SA"/>
        </w:rPr>
        <w:t xml:space="preserve">Pepper Money's CEO - Mario Rehayem </w:t>
      </w:r>
      <w:r w:rsidRPr="00836A85">
        <w:rPr>
          <w:rFonts w:ascii="Brandon Grotesque Regular" w:eastAsiaTheme="minorEastAsia" w:hAnsi="Brandon Grotesque Regular" w:cstheme="minorHAnsi"/>
          <w:color w:val="000000" w:themeColor="text1"/>
          <w:sz w:val="22"/>
          <w:szCs w:val="22"/>
          <w:lang w:val="en-GB" w:bidi="ar-SA"/>
        </w:rPr>
        <w:t xml:space="preserve">- will provide a business update after which </w:t>
      </w:r>
      <w:r w:rsidR="002452AA" w:rsidRPr="00836A85">
        <w:rPr>
          <w:rFonts w:ascii="Brandon Grotesque Regular" w:eastAsiaTheme="minorEastAsia" w:hAnsi="Brandon Grotesque Regular" w:cstheme="minorHAnsi"/>
          <w:color w:val="000000" w:themeColor="text1"/>
          <w:sz w:val="22"/>
          <w:szCs w:val="22"/>
          <w:lang w:val="en-GB" w:bidi="ar-SA"/>
        </w:rPr>
        <w:t xml:space="preserve">Pepper Money’s CFO - </w:t>
      </w:r>
      <w:r w:rsidR="00D636AA" w:rsidRPr="00836A85">
        <w:rPr>
          <w:rFonts w:ascii="Brandon Grotesque Regular" w:eastAsiaTheme="minorEastAsia" w:hAnsi="Brandon Grotesque Regular" w:cstheme="minorHAnsi"/>
          <w:color w:val="000000" w:themeColor="text1"/>
          <w:sz w:val="22"/>
          <w:szCs w:val="22"/>
          <w:lang w:val="en-GB" w:bidi="ar-SA"/>
        </w:rPr>
        <w:t xml:space="preserve">Therese McGrath - will </w:t>
      </w:r>
      <w:r w:rsidR="00806FC0" w:rsidRPr="00836A85">
        <w:rPr>
          <w:rFonts w:ascii="Brandon Grotesque Regular" w:eastAsiaTheme="minorEastAsia" w:hAnsi="Brandon Grotesque Regular" w:cstheme="minorHAnsi"/>
          <w:color w:val="000000" w:themeColor="text1"/>
          <w:sz w:val="22"/>
          <w:szCs w:val="22"/>
          <w:lang w:val="en-GB" w:bidi="ar-SA"/>
        </w:rPr>
        <w:t xml:space="preserve">take </w:t>
      </w:r>
      <w:r w:rsidR="002452AA" w:rsidRPr="00836A85">
        <w:rPr>
          <w:rFonts w:ascii="Brandon Grotesque Regular" w:eastAsiaTheme="minorEastAsia" w:hAnsi="Brandon Grotesque Regular" w:cstheme="minorHAnsi"/>
          <w:color w:val="000000" w:themeColor="text1"/>
          <w:sz w:val="22"/>
          <w:szCs w:val="22"/>
          <w:lang w:val="en-GB" w:bidi="ar-SA"/>
        </w:rPr>
        <w:t xml:space="preserve">us through the financial performance. </w:t>
      </w:r>
    </w:p>
    <w:p w14:paraId="61B0CD3A" w14:textId="77777777" w:rsidR="00EB3E80" w:rsidRPr="00836A85" w:rsidRDefault="00EB3E80" w:rsidP="00836A85">
      <w:pPr>
        <w:spacing w:before="60" w:after="60" w:line="240" w:lineRule="auto"/>
        <w:jc w:val="both"/>
        <w:rPr>
          <w:rFonts w:ascii="Brandon Grotesque Regular" w:eastAsiaTheme="minorEastAsia" w:hAnsi="Brandon Grotesque Regular" w:cstheme="minorHAnsi"/>
          <w:color w:val="000000" w:themeColor="text1"/>
          <w:sz w:val="22"/>
          <w:szCs w:val="22"/>
          <w:lang w:val="en-GB" w:bidi="ar-SA"/>
        </w:rPr>
      </w:pPr>
    </w:p>
    <w:p w14:paraId="3FC61E90" w14:textId="77777777" w:rsidR="00F244AB" w:rsidRPr="00836A85" w:rsidRDefault="00F244AB" w:rsidP="00836A85">
      <w:pPr>
        <w:spacing w:before="60" w:after="60" w:line="240" w:lineRule="auto"/>
        <w:jc w:val="both"/>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After some closing remarks by Mario - there will be an opportunity to ask questions, which can be either via phone, or submitted via the portal. </w:t>
      </w:r>
    </w:p>
    <w:p w14:paraId="2E8F5DAB" w14:textId="77777777" w:rsidR="00F244AB" w:rsidRPr="00836A85" w:rsidRDefault="00F244AB" w:rsidP="00836A85">
      <w:pPr>
        <w:spacing w:before="60" w:after="60" w:line="240" w:lineRule="auto"/>
        <w:jc w:val="both"/>
        <w:rPr>
          <w:rFonts w:ascii="Brandon Grotesque Regular" w:eastAsiaTheme="minorEastAsia" w:hAnsi="Brandon Grotesque Regular" w:cstheme="minorHAnsi"/>
          <w:color w:val="000000" w:themeColor="text1"/>
          <w:sz w:val="22"/>
          <w:szCs w:val="22"/>
          <w:lang w:val="en-GB" w:bidi="ar-SA"/>
        </w:rPr>
      </w:pPr>
    </w:p>
    <w:p w14:paraId="79021A72" w14:textId="4CB69482" w:rsidR="00F244AB" w:rsidRPr="00836A85" w:rsidRDefault="00F244AB" w:rsidP="00836A85">
      <w:pPr>
        <w:spacing w:before="60" w:after="60" w:line="240" w:lineRule="auto"/>
        <w:jc w:val="both"/>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I will now pass over to Pepper Money’s CEO – Mario Rehayem.</w:t>
      </w:r>
    </w:p>
    <w:p w14:paraId="3794159F" w14:textId="77777777" w:rsidR="00836A85" w:rsidRPr="00836A85" w:rsidRDefault="00836A85" w:rsidP="00836A85">
      <w:pPr>
        <w:spacing w:before="60" w:after="60" w:line="240" w:lineRule="auto"/>
        <w:jc w:val="both"/>
        <w:rPr>
          <w:rFonts w:ascii="Brandon Grotesque Regular" w:eastAsiaTheme="minorEastAsia" w:hAnsi="Brandon Grotesque Regular" w:cstheme="minorHAnsi"/>
          <w:color w:val="000000" w:themeColor="text1"/>
          <w:sz w:val="22"/>
          <w:szCs w:val="22"/>
          <w:lang w:val="en-GB" w:bidi="ar-SA"/>
        </w:rPr>
      </w:pPr>
    </w:p>
    <w:p w14:paraId="65C502A1" w14:textId="0B911A55" w:rsidR="00291D3F" w:rsidRPr="00836A85" w:rsidRDefault="00291D3F"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b/>
          <w:bCs/>
          <w:caps/>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t>slide number</w:t>
      </w:r>
      <w:r w:rsidR="00C60E09" w:rsidRPr="00836A85">
        <w:rPr>
          <w:rFonts w:ascii="Brandon Grotesque Regular" w:eastAsiaTheme="minorEastAsia" w:hAnsi="Brandon Grotesque Regular"/>
          <w:b/>
          <w:bCs/>
          <w:caps/>
          <w:color w:val="002060"/>
          <w:spacing w:val="80"/>
          <w:sz w:val="22"/>
          <w:szCs w:val="22"/>
          <w:lang w:val="en-GB" w:bidi="ar-SA"/>
        </w:rPr>
        <w:t xml:space="preserve"> 4</w:t>
      </w:r>
    </w:p>
    <w:p w14:paraId="48F909F1" w14:textId="778157EA" w:rsidR="006E62ED" w:rsidRPr="00836A85" w:rsidRDefault="006E62ED"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Thank you, Gordon. And thank you </w:t>
      </w:r>
      <w:r w:rsidR="00CF6C15" w:rsidRPr="00836A85">
        <w:rPr>
          <w:rFonts w:ascii="Brandon Grotesque Regular" w:eastAsiaTheme="minorEastAsia" w:hAnsi="Brandon Grotesque Regular" w:cstheme="minorHAnsi"/>
          <w:color w:val="000000" w:themeColor="text1"/>
          <w:sz w:val="22"/>
          <w:szCs w:val="22"/>
          <w:lang w:val="en-GB" w:bidi="ar-SA"/>
        </w:rPr>
        <w:t xml:space="preserve">to </w:t>
      </w:r>
      <w:r w:rsidRPr="00836A85">
        <w:rPr>
          <w:rFonts w:ascii="Brandon Grotesque Regular" w:eastAsiaTheme="minorEastAsia" w:hAnsi="Brandon Grotesque Regular" w:cstheme="minorHAnsi"/>
          <w:color w:val="000000" w:themeColor="text1"/>
          <w:sz w:val="22"/>
          <w:szCs w:val="22"/>
          <w:lang w:val="en-GB" w:bidi="ar-SA"/>
        </w:rPr>
        <w:t>everyone who has dialled into</w:t>
      </w:r>
      <w:r w:rsidR="00CF6C15" w:rsidRPr="00836A85">
        <w:rPr>
          <w:rFonts w:ascii="Brandon Grotesque Regular" w:eastAsiaTheme="minorEastAsia" w:hAnsi="Brandon Grotesque Regular" w:cstheme="minorHAnsi"/>
          <w:color w:val="000000" w:themeColor="text1"/>
          <w:sz w:val="22"/>
          <w:szCs w:val="22"/>
          <w:lang w:val="en-GB" w:bidi="ar-SA"/>
        </w:rPr>
        <w:t>,</w:t>
      </w:r>
      <w:r w:rsidRPr="00836A85">
        <w:rPr>
          <w:rFonts w:ascii="Brandon Grotesque Regular" w:eastAsiaTheme="minorEastAsia" w:hAnsi="Brandon Grotesque Regular" w:cstheme="minorHAnsi"/>
          <w:color w:val="000000" w:themeColor="text1"/>
          <w:sz w:val="22"/>
          <w:szCs w:val="22"/>
          <w:lang w:val="en-GB" w:bidi="ar-SA"/>
        </w:rPr>
        <w:t xml:space="preserve"> today’s call. </w:t>
      </w:r>
    </w:p>
    <w:p w14:paraId="54B5EF83" w14:textId="77777777" w:rsidR="00C27053" w:rsidRPr="00836A85" w:rsidRDefault="00C2705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598FE577" w14:textId="17A9156F" w:rsidR="006E62ED" w:rsidRPr="00836A85" w:rsidRDefault="00C049FF" w:rsidP="00836A85">
      <w:pPr>
        <w:spacing w:before="60" w:after="60" w:line="240" w:lineRule="auto"/>
        <w:rPr>
          <w:rFonts w:ascii="Brandon Grotesque Regular" w:hAnsi="Brandon Grotesque Regular" w:cstheme="minorHAnsi"/>
          <w:b/>
          <w:bCs/>
          <w:color w:val="000000" w:themeColor="text1"/>
          <w:sz w:val="22"/>
          <w:szCs w:val="22"/>
        </w:rPr>
      </w:pPr>
      <w:r w:rsidRPr="00836A85">
        <w:rPr>
          <w:rFonts w:ascii="Brandon Grotesque Regular" w:hAnsi="Brandon Grotesque Regular"/>
          <w:color w:val="000000"/>
          <w:sz w:val="22"/>
          <w:szCs w:val="22"/>
        </w:rPr>
        <w:t xml:space="preserve">I will begin by outlining the outstanding performance achieved by the business in 2025, as it was indeed an exceptional year. </w:t>
      </w:r>
    </w:p>
    <w:p w14:paraId="4D6A9975" w14:textId="59874D80" w:rsidR="00DD0743" w:rsidRPr="00836A85" w:rsidRDefault="00E07F88" w:rsidP="00836A85">
      <w:pPr>
        <w:spacing w:before="60" w:after="60" w:line="240" w:lineRule="auto"/>
        <w:rPr>
          <w:rFonts w:ascii="Brandon Grotesque Regular" w:hAnsi="Brandon Grotesque Regular"/>
          <w:color w:val="000000"/>
          <w:sz w:val="22"/>
          <w:szCs w:val="22"/>
        </w:rPr>
      </w:pPr>
      <w:r w:rsidRPr="00836A85">
        <w:rPr>
          <w:rFonts w:ascii="Brandon Grotesque Regular" w:hAnsi="Brandon Grotesque Regular"/>
          <w:color w:val="000000"/>
          <w:sz w:val="22"/>
          <w:szCs w:val="22"/>
        </w:rPr>
        <w:t xml:space="preserve">In addition to marking our 25th anniversary, we set new records in Originations and Total Assets Under Management. We recorded $10.3 billion in Originations across Mortgages and Asset Finance and concluded the year with Total AUM of $21.8 billion, laying a strong foundation for future profitability. </w:t>
      </w:r>
    </w:p>
    <w:p w14:paraId="27DBF317" w14:textId="77777777" w:rsidR="00665436" w:rsidRPr="00836A85" w:rsidRDefault="00665436" w:rsidP="00836A85">
      <w:pPr>
        <w:spacing w:before="60" w:after="60" w:line="240" w:lineRule="auto"/>
        <w:rPr>
          <w:rFonts w:ascii="Brandon Grotesque Regular" w:hAnsi="Brandon Grotesque Regular"/>
          <w:sz w:val="22"/>
          <w:szCs w:val="22"/>
        </w:rPr>
      </w:pPr>
    </w:p>
    <w:p w14:paraId="299C2DC6" w14:textId="4CA81153" w:rsidR="005C28A9" w:rsidRPr="00836A85" w:rsidRDefault="00E07F88" w:rsidP="00836A85">
      <w:pPr>
        <w:spacing w:before="60" w:after="60" w:line="240" w:lineRule="auto"/>
        <w:rPr>
          <w:rFonts w:ascii="Brandon Grotesque Regular" w:hAnsi="Brandon Grotesque Regular"/>
          <w:color w:val="000000"/>
          <w:sz w:val="22"/>
          <w:szCs w:val="22"/>
        </w:rPr>
      </w:pPr>
      <w:r w:rsidRPr="00836A85">
        <w:rPr>
          <w:rFonts w:ascii="Brandon Grotesque Regular" w:hAnsi="Brandon Grotesque Regular"/>
          <w:color w:val="000000"/>
          <w:sz w:val="22"/>
          <w:szCs w:val="22"/>
        </w:rPr>
        <w:t>Our impressive volume growth was achieved without compromising Group margins. The Total Net Interest Margin rose to 2.05% from 1.97% in</w:t>
      </w:r>
      <w:r w:rsidR="005C28A9" w:rsidRPr="00836A85">
        <w:rPr>
          <w:rFonts w:ascii="Brandon Grotesque Regular" w:hAnsi="Brandon Grotesque Regular"/>
          <w:color w:val="000000"/>
          <w:sz w:val="22"/>
          <w:szCs w:val="22"/>
        </w:rPr>
        <w:t xml:space="preserve"> </w:t>
      </w:r>
      <w:r w:rsidRPr="00836A85">
        <w:rPr>
          <w:rFonts w:ascii="Brandon Grotesque Regular" w:hAnsi="Brandon Grotesque Regular"/>
          <w:color w:val="000000"/>
          <w:sz w:val="22"/>
          <w:szCs w:val="22"/>
        </w:rPr>
        <w:t xml:space="preserve">2024. </w:t>
      </w:r>
    </w:p>
    <w:p w14:paraId="0960406E" w14:textId="77777777" w:rsidR="005C28A9" w:rsidRPr="00836A85" w:rsidRDefault="00E07F88" w:rsidP="00836A85">
      <w:pPr>
        <w:spacing w:before="60" w:after="60" w:line="240" w:lineRule="auto"/>
        <w:rPr>
          <w:rFonts w:ascii="Brandon Grotesque Regular" w:hAnsi="Brandon Grotesque Regular"/>
          <w:color w:val="000000"/>
          <w:sz w:val="22"/>
          <w:szCs w:val="22"/>
        </w:rPr>
      </w:pPr>
      <w:r w:rsidRPr="00836A85">
        <w:rPr>
          <w:rFonts w:ascii="Brandon Grotesque Regular" w:hAnsi="Brandon Grotesque Regular"/>
          <w:color w:val="000000"/>
          <w:sz w:val="22"/>
          <w:szCs w:val="22"/>
        </w:rPr>
        <w:t xml:space="preserve">Business diversification positively impacted NIM, with our Asset Finance segment delivering improved margins and an enhanced product mix. </w:t>
      </w:r>
    </w:p>
    <w:p w14:paraId="1A485D4A" w14:textId="3A93E9F5" w:rsidR="00DD0743" w:rsidRPr="00836A85" w:rsidRDefault="00E07F88"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color w:val="000000"/>
          <w:sz w:val="22"/>
          <w:szCs w:val="22"/>
        </w:rPr>
        <w:t>Asset Finance played a key role in maintaining Total NIM above our target of 2.00%. Asset Finance NIM increased by 31 basis points year o</w:t>
      </w:r>
      <w:r w:rsidR="00064200" w:rsidRPr="00836A85">
        <w:rPr>
          <w:rFonts w:ascii="Brandon Grotesque Regular" w:hAnsi="Brandon Grotesque Regular"/>
          <w:color w:val="000000"/>
          <w:sz w:val="22"/>
          <w:szCs w:val="22"/>
        </w:rPr>
        <w:t>n</w:t>
      </w:r>
      <w:r w:rsidRPr="00836A85">
        <w:rPr>
          <w:rFonts w:ascii="Brandon Grotesque Regular" w:hAnsi="Brandon Grotesque Regular"/>
          <w:color w:val="000000"/>
          <w:sz w:val="22"/>
          <w:szCs w:val="22"/>
        </w:rPr>
        <w:t xml:space="preserve"> year, while Mortgage</w:t>
      </w:r>
      <w:r w:rsidR="007948B1" w:rsidRPr="00836A85">
        <w:rPr>
          <w:rFonts w:ascii="Brandon Grotesque Regular" w:hAnsi="Brandon Grotesque Regular"/>
          <w:color w:val="000000"/>
          <w:sz w:val="22"/>
          <w:szCs w:val="22"/>
        </w:rPr>
        <w:t>s</w:t>
      </w:r>
      <w:r w:rsidRPr="00836A85">
        <w:rPr>
          <w:rFonts w:ascii="Brandon Grotesque Regular" w:hAnsi="Brandon Grotesque Regular"/>
          <w:color w:val="000000"/>
          <w:sz w:val="22"/>
          <w:szCs w:val="22"/>
        </w:rPr>
        <w:t xml:space="preserve"> NIM decreased by 12 basis points. This decline was </w:t>
      </w:r>
      <w:r w:rsidR="00064200" w:rsidRPr="00836A85">
        <w:rPr>
          <w:rFonts w:ascii="Brandon Grotesque Regular" w:hAnsi="Brandon Grotesque Regular"/>
          <w:color w:val="000000"/>
          <w:sz w:val="22"/>
          <w:szCs w:val="22"/>
        </w:rPr>
        <w:t xml:space="preserve">driven by </w:t>
      </w:r>
      <w:r w:rsidRPr="00836A85">
        <w:rPr>
          <w:rFonts w:ascii="Brandon Grotesque Regular" w:hAnsi="Brandon Grotesque Regular"/>
          <w:color w:val="000000"/>
          <w:sz w:val="22"/>
          <w:szCs w:val="22"/>
        </w:rPr>
        <w:t xml:space="preserve">the shift in </w:t>
      </w:r>
      <w:r w:rsidR="00064200" w:rsidRPr="00836A85">
        <w:rPr>
          <w:rFonts w:ascii="Brandon Grotesque Regular" w:hAnsi="Brandon Grotesque Regular"/>
          <w:color w:val="000000"/>
          <w:sz w:val="22"/>
          <w:szCs w:val="22"/>
        </w:rPr>
        <w:t xml:space="preserve">product </w:t>
      </w:r>
      <w:r w:rsidRPr="00836A85">
        <w:rPr>
          <w:rFonts w:ascii="Brandon Grotesque Regular" w:hAnsi="Brandon Grotesque Regular"/>
          <w:color w:val="000000"/>
          <w:sz w:val="22"/>
          <w:szCs w:val="22"/>
        </w:rPr>
        <w:t xml:space="preserve">mix, as Prime Originations grew by 148% year </w:t>
      </w:r>
      <w:r w:rsidR="00ED09B4" w:rsidRPr="00836A85">
        <w:rPr>
          <w:rFonts w:ascii="Brandon Grotesque Regular" w:hAnsi="Brandon Grotesque Regular"/>
          <w:color w:val="000000"/>
          <w:sz w:val="22"/>
          <w:szCs w:val="22"/>
        </w:rPr>
        <w:t>on</w:t>
      </w:r>
      <w:r w:rsidRPr="00836A85">
        <w:rPr>
          <w:rFonts w:ascii="Brandon Grotesque Regular" w:hAnsi="Brandon Grotesque Regular"/>
          <w:color w:val="000000"/>
          <w:sz w:val="22"/>
          <w:szCs w:val="22"/>
        </w:rPr>
        <w:t xml:space="preserve"> year. </w:t>
      </w:r>
    </w:p>
    <w:p w14:paraId="6AA3DDE3" w14:textId="558BF92E" w:rsidR="00123629" w:rsidRPr="00836A85" w:rsidRDefault="00DD0743" w:rsidP="00836A85">
      <w:pPr>
        <w:spacing w:before="60" w:after="60" w:line="240" w:lineRule="auto"/>
        <w:rPr>
          <w:rFonts w:ascii="Brandon Grotesque Regular" w:hAnsi="Brandon Grotesque Regular"/>
          <w:color w:val="000000" w:themeColor="text1"/>
          <w:sz w:val="22"/>
          <w:szCs w:val="22"/>
        </w:rPr>
      </w:pPr>
      <w:r w:rsidRPr="00836A85">
        <w:rPr>
          <w:rFonts w:ascii="Brandon Grotesque Regular" w:hAnsi="Brandon Grotesque Regular"/>
          <w:color w:val="000000" w:themeColor="text1"/>
          <w:sz w:val="22"/>
          <w:szCs w:val="22"/>
        </w:rPr>
        <w:t xml:space="preserve">I have spoken frequently about our scaled platforms and processes – and how it positions us to efficiently capture growth. </w:t>
      </w:r>
    </w:p>
    <w:p w14:paraId="5D98BBB1" w14:textId="77777777" w:rsidR="00851363" w:rsidRPr="00836A85" w:rsidRDefault="00851363" w:rsidP="00836A85">
      <w:pPr>
        <w:spacing w:before="60" w:after="60" w:line="240" w:lineRule="auto"/>
        <w:rPr>
          <w:rFonts w:ascii="Brandon Grotesque Regular" w:hAnsi="Brandon Grotesque Regular"/>
          <w:color w:val="000000" w:themeColor="text1"/>
          <w:sz w:val="22"/>
          <w:szCs w:val="22"/>
        </w:rPr>
      </w:pPr>
    </w:p>
    <w:p w14:paraId="3618BBFD" w14:textId="77777777" w:rsidR="005C28A9" w:rsidRPr="00836A85" w:rsidRDefault="00781868" w:rsidP="00836A85">
      <w:pPr>
        <w:spacing w:before="60" w:after="60" w:line="240" w:lineRule="auto"/>
        <w:rPr>
          <w:rFonts w:ascii="Brandon Grotesque Regular" w:hAnsi="Brandon Grotesque Regular"/>
          <w:color w:val="000000"/>
          <w:sz w:val="22"/>
          <w:szCs w:val="22"/>
        </w:rPr>
      </w:pPr>
      <w:r w:rsidRPr="00836A85">
        <w:rPr>
          <w:rFonts w:ascii="Brandon Grotesque Regular" w:hAnsi="Brandon Grotesque Regular"/>
          <w:color w:val="000000"/>
          <w:sz w:val="22"/>
          <w:szCs w:val="22"/>
        </w:rPr>
        <w:t xml:space="preserve">Over 2025, we achieved significant efficiency improvements, with Settlement Productivity increasing by 27% year-on-year. </w:t>
      </w:r>
    </w:p>
    <w:p w14:paraId="19FF3C98" w14:textId="77777777" w:rsidR="00BE0087" w:rsidRPr="00836A85" w:rsidRDefault="00781868" w:rsidP="00836A85">
      <w:pPr>
        <w:spacing w:before="60" w:after="60" w:line="240" w:lineRule="auto"/>
        <w:rPr>
          <w:rFonts w:ascii="Brandon Grotesque Regular" w:hAnsi="Brandon Grotesque Regular"/>
          <w:color w:val="000000"/>
          <w:sz w:val="22"/>
          <w:szCs w:val="22"/>
        </w:rPr>
      </w:pPr>
      <w:r w:rsidRPr="00836A85">
        <w:rPr>
          <w:rFonts w:ascii="Brandon Grotesque Regular" w:hAnsi="Brandon Grotesque Regular"/>
          <w:color w:val="000000"/>
          <w:sz w:val="22"/>
          <w:szCs w:val="22"/>
        </w:rPr>
        <w:t>Our commitment to disciplined cost management resulted in Total Pro-forma Expenses decreasing by 2%</w:t>
      </w:r>
      <w:r w:rsidR="005C28A9" w:rsidRPr="00836A85">
        <w:rPr>
          <w:rFonts w:ascii="Brandon Grotesque Regular" w:hAnsi="Brandon Grotesque Regular"/>
          <w:color w:val="000000"/>
          <w:sz w:val="22"/>
          <w:szCs w:val="22"/>
        </w:rPr>
        <w:t>,</w:t>
      </w:r>
      <w:r w:rsidRPr="00836A85">
        <w:rPr>
          <w:rFonts w:ascii="Brandon Grotesque Regular" w:hAnsi="Brandon Grotesque Regular"/>
          <w:color w:val="000000"/>
          <w:sz w:val="22"/>
          <w:szCs w:val="22"/>
        </w:rPr>
        <w:t xml:space="preserve"> compared to the prior period, reaching $242.</w:t>
      </w:r>
      <w:r w:rsidR="00A5029D" w:rsidRPr="00836A85">
        <w:rPr>
          <w:rFonts w:ascii="Brandon Grotesque Regular" w:hAnsi="Brandon Grotesque Regular"/>
          <w:color w:val="000000"/>
          <w:sz w:val="22"/>
          <w:szCs w:val="22"/>
        </w:rPr>
        <w:t>0</w:t>
      </w:r>
      <w:r w:rsidRPr="00836A85">
        <w:rPr>
          <w:rFonts w:ascii="Brandon Grotesque Regular" w:hAnsi="Brandon Grotesque Regular"/>
          <w:color w:val="000000"/>
          <w:sz w:val="22"/>
          <w:szCs w:val="22"/>
        </w:rPr>
        <w:t xml:space="preserve"> million. </w:t>
      </w:r>
    </w:p>
    <w:p w14:paraId="703A3F4D" w14:textId="58F71576" w:rsidR="00DD0743" w:rsidRPr="00836A85" w:rsidRDefault="00781868" w:rsidP="00836A85">
      <w:pPr>
        <w:spacing w:before="60" w:after="60" w:line="240" w:lineRule="auto"/>
        <w:rPr>
          <w:rFonts w:ascii="Brandon Grotesque Regular" w:hAnsi="Brandon Grotesque Regular"/>
          <w:color w:val="000000"/>
          <w:sz w:val="22"/>
          <w:szCs w:val="22"/>
        </w:rPr>
      </w:pPr>
      <w:r w:rsidRPr="00836A85">
        <w:rPr>
          <w:rFonts w:ascii="Brandon Grotesque Regular" w:hAnsi="Brandon Grotesque Regular"/>
          <w:color w:val="000000"/>
          <w:sz w:val="22"/>
          <w:szCs w:val="22"/>
        </w:rPr>
        <w:t xml:space="preserve">This, together with a 1% increase in Total Operating Income, enabled our Cost-to-Income ratio to improve by 4% over the </w:t>
      </w:r>
      <w:r w:rsidR="00A5029D" w:rsidRPr="00836A85">
        <w:rPr>
          <w:rFonts w:ascii="Brandon Grotesque Regular" w:hAnsi="Brandon Grotesque Regular"/>
          <w:color w:val="000000"/>
          <w:sz w:val="22"/>
          <w:szCs w:val="22"/>
        </w:rPr>
        <w:t>prior</w:t>
      </w:r>
      <w:r w:rsidRPr="00836A85">
        <w:rPr>
          <w:rFonts w:ascii="Brandon Grotesque Regular" w:hAnsi="Brandon Grotesque Regular"/>
          <w:color w:val="000000"/>
          <w:sz w:val="22"/>
          <w:szCs w:val="22"/>
        </w:rPr>
        <w:t xml:space="preserve"> comparable period, now standing at 50.5%. </w:t>
      </w:r>
    </w:p>
    <w:p w14:paraId="373F4318" w14:textId="283C1A21" w:rsidR="00DD0743" w:rsidRPr="00836A85" w:rsidRDefault="00825476"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color w:val="000000"/>
          <w:sz w:val="22"/>
          <w:szCs w:val="22"/>
        </w:rPr>
        <w:lastRenderedPageBreak/>
        <w:t xml:space="preserve">Market demand for our Whole Loan Sales program remained strong throughout the year. In total, we concluded 2025 with $3.5 billion executed in </w:t>
      </w:r>
      <w:r w:rsidR="00A5029D" w:rsidRPr="00836A85">
        <w:rPr>
          <w:rFonts w:ascii="Brandon Grotesque Regular" w:hAnsi="Brandon Grotesque Regular"/>
          <w:color w:val="000000"/>
          <w:sz w:val="22"/>
          <w:szCs w:val="22"/>
        </w:rPr>
        <w:t>Whole Loan Sale</w:t>
      </w:r>
      <w:r w:rsidRPr="00836A85">
        <w:rPr>
          <w:rFonts w:ascii="Brandon Grotesque Regular" w:hAnsi="Brandon Grotesque Regular"/>
          <w:color w:val="000000"/>
          <w:sz w:val="22"/>
          <w:szCs w:val="22"/>
        </w:rPr>
        <w:t xml:space="preserve"> transactions. Combined with the $3.5 billion raised through Public Term Securitisations, we achieved a new record in total funding, raising $7.0 billion. This represents a 35% increase over 2024 and surpasses our previous record </w:t>
      </w:r>
      <w:r w:rsidR="00D00ABB" w:rsidRPr="00836A85">
        <w:rPr>
          <w:rFonts w:ascii="Brandon Grotesque Regular" w:hAnsi="Brandon Grotesque Regular"/>
          <w:color w:val="000000"/>
          <w:sz w:val="22"/>
          <w:szCs w:val="22"/>
        </w:rPr>
        <w:t>held in</w:t>
      </w:r>
      <w:r w:rsidRPr="00836A85">
        <w:rPr>
          <w:rFonts w:ascii="Brandon Grotesque Regular" w:hAnsi="Brandon Grotesque Regular"/>
          <w:color w:val="000000"/>
          <w:sz w:val="22"/>
          <w:szCs w:val="22"/>
        </w:rPr>
        <w:t xml:space="preserve"> 2023, by 11%. </w:t>
      </w:r>
    </w:p>
    <w:p w14:paraId="5B1A39F5" w14:textId="77777777" w:rsidR="00851363" w:rsidRPr="00836A85" w:rsidRDefault="00851363" w:rsidP="00836A85">
      <w:pPr>
        <w:spacing w:before="60" w:after="60" w:line="240" w:lineRule="auto"/>
        <w:rPr>
          <w:rFonts w:ascii="Brandon Grotesque Regular" w:hAnsi="Brandon Grotesque Regular"/>
          <w:color w:val="000000" w:themeColor="text1"/>
          <w:sz w:val="22"/>
          <w:szCs w:val="22"/>
        </w:rPr>
      </w:pPr>
    </w:p>
    <w:p w14:paraId="5CB40BB7" w14:textId="10AF5C09" w:rsidR="00851363" w:rsidRPr="00836A85" w:rsidRDefault="0090547A" w:rsidP="00836A85">
      <w:pPr>
        <w:spacing w:before="60" w:after="60" w:line="240" w:lineRule="auto"/>
        <w:rPr>
          <w:rFonts w:ascii="Brandon Grotesque Regular" w:hAnsi="Brandon Grotesque Regular"/>
          <w:color w:val="000000"/>
          <w:sz w:val="22"/>
          <w:szCs w:val="22"/>
        </w:rPr>
      </w:pPr>
      <w:r w:rsidRPr="00836A85">
        <w:rPr>
          <w:rFonts w:ascii="Brandon Grotesque Regular" w:hAnsi="Brandon Grotesque Regular"/>
          <w:color w:val="000000"/>
          <w:sz w:val="22"/>
          <w:szCs w:val="22"/>
        </w:rPr>
        <w:t xml:space="preserve">Underlying profit, defined as </w:t>
      </w:r>
      <w:r w:rsidR="00A5029D" w:rsidRPr="00836A85">
        <w:rPr>
          <w:rFonts w:ascii="Brandon Grotesque Regular" w:hAnsi="Brandon Grotesque Regular"/>
          <w:color w:val="000000"/>
          <w:sz w:val="22"/>
          <w:szCs w:val="22"/>
        </w:rPr>
        <w:t>P</w:t>
      </w:r>
      <w:r w:rsidRPr="00836A85">
        <w:rPr>
          <w:rFonts w:ascii="Brandon Grotesque Regular" w:hAnsi="Brandon Grotesque Regular"/>
          <w:color w:val="000000"/>
          <w:sz w:val="22"/>
          <w:szCs w:val="22"/>
        </w:rPr>
        <w:t xml:space="preserve">ro-forma </w:t>
      </w:r>
      <w:r w:rsidR="00A5029D" w:rsidRPr="00836A85">
        <w:rPr>
          <w:rFonts w:ascii="Brandon Grotesque Regular" w:hAnsi="Brandon Grotesque Regular"/>
          <w:color w:val="000000"/>
          <w:sz w:val="22"/>
          <w:szCs w:val="22"/>
        </w:rPr>
        <w:t>P</w:t>
      </w:r>
      <w:r w:rsidRPr="00836A85">
        <w:rPr>
          <w:rFonts w:ascii="Brandon Grotesque Regular" w:hAnsi="Brandon Grotesque Regular"/>
          <w:color w:val="000000"/>
          <w:sz w:val="22"/>
          <w:szCs w:val="22"/>
        </w:rPr>
        <w:t xml:space="preserve">rofit before </w:t>
      </w:r>
      <w:r w:rsidR="00A5029D" w:rsidRPr="00836A85">
        <w:rPr>
          <w:rFonts w:ascii="Brandon Grotesque Regular" w:hAnsi="Brandon Grotesque Regular"/>
          <w:color w:val="000000"/>
          <w:sz w:val="22"/>
          <w:szCs w:val="22"/>
        </w:rPr>
        <w:t>T</w:t>
      </w:r>
      <w:r w:rsidRPr="00836A85">
        <w:rPr>
          <w:rFonts w:ascii="Brandon Grotesque Regular" w:hAnsi="Brandon Grotesque Regular"/>
          <w:color w:val="000000"/>
          <w:sz w:val="22"/>
          <w:szCs w:val="22"/>
        </w:rPr>
        <w:t xml:space="preserve">ax and </w:t>
      </w:r>
      <w:r w:rsidR="00A5029D" w:rsidRPr="00836A85">
        <w:rPr>
          <w:rFonts w:ascii="Brandon Grotesque Regular" w:hAnsi="Brandon Grotesque Regular"/>
          <w:color w:val="000000"/>
          <w:sz w:val="22"/>
          <w:szCs w:val="22"/>
        </w:rPr>
        <w:t>L</w:t>
      </w:r>
      <w:r w:rsidRPr="00836A85">
        <w:rPr>
          <w:rFonts w:ascii="Brandon Grotesque Regular" w:hAnsi="Brandon Grotesque Regular"/>
          <w:color w:val="000000"/>
          <w:sz w:val="22"/>
          <w:szCs w:val="22"/>
        </w:rPr>
        <w:t xml:space="preserve">oan </w:t>
      </w:r>
      <w:r w:rsidR="00A5029D" w:rsidRPr="00836A85">
        <w:rPr>
          <w:rFonts w:ascii="Brandon Grotesque Regular" w:hAnsi="Brandon Grotesque Regular"/>
          <w:color w:val="000000"/>
          <w:sz w:val="22"/>
          <w:szCs w:val="22"/>
        </w:rPr>
        <w:t>L</w:t>
      </w:r>
      <w:r w:rsidRPr="00836A85">
        <w:rPr>
          <w:rFonts w:ascii="Brandon Grotesque Regular" w:hAnsi="Brandon Grotesque Regular"/>
          <w:color w:val="000000"/>
          <w:sz w:val="22"/>
          <w:szCs w:val="22"/>
        </w:rPr>
        <w:t xml:space="preserve">oss </w:t>
      </w:r>
      <w:r w:rsidR="00A5029D" w:rsidRPr="00836A85">
        <w:rPr>
          <w:rFonts w:ascii="Brandon Grotesque Regular" w:hAnsi="Brandon Grotesque Regular"/>
          <w:color w:val="000000"/>
          <w:sz w:val="22"/>
          <w:szCs w:val="22"/>
        </w:rPr>
        <w:t>E</w:t>
      </w:r>
      <w:r w:rsidRPr="00836A85">
        <w:rPr>
          <w:rFonts w:ascii="Brandon Grotesque Regular" w:hAnsi="Brandon Grotesque Regular"/>
          <w:color w:val="000000"/>
          <w:sz w:val="22"/>
          <w:szCs w:val="22"/>
        </w:rPr>
        <w:t xml:space="preserve">xpense, closed the year at $237.4 million, representing a 13% increase </w:t>
      </w:r>
      <w:r w:rsidR="00A5029D" w:rsidRPr="00836A85">
        <w:rPr>
          <w:rFonts w:ascii="Brandon Grotesque Regular" w:hAnsi="Brandon Grotesque Regular"/>
          <w:color w:val="000000"/>
          <w:sz w:val="22"/>
          <w:szCs w:val="22"/>
        </w:rPr>
        <w:t>on</w:t>
      </w:r>
      <w:r w:rsidRPr="00836A85">
        <w:rPr>
          <w:rFonts w:ascii="Brandon Grotesque Regular" w:hAnsi="Brandon Grotesque Regular"/>
          <w:color w:val="000000"/>
          <w:sz w:val="22"/>
          <w:szCs w:val="22"/>
        </w:rPr>
        <w:t xml:space="preserve"> PCP. </w:t>
      </w:r>
      <w:r w:rsidR="0006658A" w:rsidRPr="00836A85">
        <w:rPr>
          <w:rFonts w:ascii="Brandon Grotesque Regular" w:hAnsi="Brandon Grotesque Regular"/>
          <w:color w:val="000000"/>
          <w:sz w:val="22"/>
          <w:szCs w:val="22"/>
        </w:rPr>
        <w:t>G</w:t>
      </w:r>
      <w:r w:rsidRPr="00836A85">
        <w:rPr>
          <w:rFonts w:ascii="Brandon Grotesque Regular" w:hAnsi="Brandon Grotesque Regular"/>
          <w:color w:val="000000"/>
          <w:sz w:val="22"/>
          <w:szCs w:val="22"/>
        </w:rPr>
        <w:t xml:space="preserve">rowth in </w:t>
      </w:r>
      <w:r w:rsidR="00A5029D" w:rsidRPr="00836A85">
        <w:rPr>
          <w:rFonts w:ascii="Brandon Grotesque Regular" w:hAnsi="Brandon Grotesque Regular"/>
          <w:color w:val="000000"/>
          <w:sz w:val="22"/>
          <w:szCs w:val="22"/>
        </w:rPr>
        <w:t>O</w:t>
      </w:r>
      <w:r w:rsidRPr="00836A85">
        <w:rPr>
          <w:rFonts w:ascii="Brandon Grotesque Regular" w:hAnsi="Brandon Grotesque Regular"/>
          <w:color w:val="000000"/>
          <w:sz w:val="22"/>
          <w:szCs w:val="22"/>
        </w:rPr>
        <w:t xml:space="preserve">riginations and </w:t>
      </w:r>
      <w:r w:rsidR="00A5029D" w:rsidRPr="00836A85">
        <w:rPr>
          <w:rFonts w:ascii="Brandon Grotesque Regular" w:hAnsi="Brandon Grotesque Regular"/>
          <w:color w:val="000000"/>
          <w:sz w:val="22"/>
          <w:szCs w:val="22"/>
        </w:rPr>
        <w:t>A</w:t>
      </w:r>
      <w:r w:rsidRPr="00836A85">
        <w:rPr>
          <w:rFonts w:ascii="Brandon Grotesque Regular" w:hAnsi="Brandon Grotesque Regular"/>
          <w:color w:val="000000"/>
          <w:sz w:val="22"/>
          <w:szCs w:val="22"/>
        </w:rPr>
        <w:t xml:space="preserve">ssets </w:t>
      </w:r>
      <w:r w:rsidR="00A5029D" w:rsidRPr="00836A85">
        <w:rPr>
          <w:rFonts w:ascii="Brandon Grotesque Regular" w:hAnsi="Brandon Grotesque Regular"/>
          <w:color w:val="000000"/>
          <w:sz w:val="22"/>
          <w:szCs w:val="22"/>
        </w:rPr>
        <w:t>U</w:t>
      </w:r>
      <w:r w:rsidRPr="00836A85">
        <w:rPr>
          <w:rFonts w:ascii="Brandon Grotesque Regular" w:hAnsi="Brandon Grotesque Regular"/>
          <w:color w:val="000000"/>
          <w:sz w:val="22"/>
          <w:szCs w:val="22"/>
        </w:rPr>
        <w:t xml:space="preserve">nder </w:t>
      </w:r>
      <w:r w:rsidR="00A5029D" w:rsidRPr="00836A85">
        <w:rPr>
          <w:rFonts w:ascii="Brandon Grotesque Regular" w:hAnsi="Brandon Grotesque Regular"/>
          <w:color w:val="000000"/>
          <w:sz w:val="22"/>
          <w:szCs w:val="22"/>
        </w:rPr>
        <w:t>M</w:t>
      </w:r>
      <w:r w:rsidRPr="00836A85">
        <w:rPr>
          <w:rFonts w:ascii="Brandon Grotesque Regular" w:hAnsi="Brandon Grotesque Regular"/>
          <w:color w:val="000000"/>
          <w:sz w:val="22"/>
          <w:szCs w:val="22"/>
        </w:rPr>
        <w:t>anagement</w:t>
      </w:r>
      <w:r w:rsidR="0006658A" w:rsidRPr="00836A85">
        <w:rPr>
          <w:rFonts w:ascii="Brandon Grotesque Regular" w:hAnsi="Brandon Grotesque Regular"/>
          <w:color w:val="000000"/>
          <w:sz w:val="22"/>
          <w:szCs w:val="22"/>
        </w:rPr>
        <w:t xml:space="preserve"> combined with </w:t>
      </w:r>
      <w:r w:rsidR="00A5029D" w:rsidRPr="00836A85">
        <w:rPr>
          <w:rFonts w:ascii="Brandon Grotesque Regular" w:hAnsi="Brandon Grotesque Regular"/>
          <w:color w:val="000000"/>
          <w:sz w:val="22"/>
          <w:szCs w:val="22"/>
        </w:rPr>
        <w:t xml:space="preserve">our </w:t>
      </w:r>
      <w:r w:rsidRPr="00836A85">
        <w:rPr>
          <w:rFonts w:ascii="Brandon Grotesque Regular" w:hAnsi="Brandon Grotesque Regular"/>
          <w:color w:val="000000"/>
          <w:sz w:val="22"/>
          <w:szCs w:val="22"/>
        </w:rPr>
        <w:t xml:space="preserve">disciplined </w:t>
      </w:r>
      <w:r w:rsidR="0006658A" w:rsidRPr="00836A85">
        <w:rPr>
          <w:rFonts w:ascii="Brandon Grotesque Regular" w:hAnsi="Brandon Grotesque Regular"/>
          <w:color w:val="000000"/>
          <w:sz w:val="22"/>
          <w:szCs w:val="22"/>
        </w:rPr>
        <w:t xml:space="preserve">approach to </w:t>
      </w:r>
      <w:r w:rsidRPr="00836A85">
        <w:rPr>
          <w:rFonts w:ascii="Brandon Grotesque Regular" w:hAnsi="Brandon Grotesque Regular"/>
          <w:color w:val="000000"/>
          <w:sz w:val="22"/>
          <w:szCs w:val="22"/>
        </w:rPr>
        <w:t>cost</w:t>
      </w:r>
      <w:r w:rsidR="0006658A" w:rsidRPr="00836A85">
        <w:rPr>
          <w:rFonts w:ascii="Brandon Grotesque Regular" w:hAnsi="Brandon Grotesque Regular"/>
          <w:color w:val="000000"/>
          <w:sz w:val="22"/>
          <w:szCs w:val="22"/>
        </w:rPr>
        <w:t>s</w:t>
      </w:r>
      <w:r w:rsidRPr="00836A85">
        <w:rPr>
          <w:rFonts w:ascii="Brandon Grotesque Regular" w:hAnsi="Brandon Grotesque Regular"/>
          <w:color w:val="000000"/>
          <w:sz w:val="22"/>
          <w:szCs w:val="22"/>
        </w:rPr>
        <w:t>,</w:t>
      </w:r>
      <w:r w:rsidR="00BE0087" w:rsidRPr="00836A85">
        <w:rPr>
          <w:rFonts w:ascii="Brandon Grotesque Regular" w:hAnsi="Brandon Grotesque Regular"/>
          <w:color w:val="000000"/>
          <w:sz w:val="22"/>
          <w:szCs w:val="22"/>
        </w:rPr>
        <w:t xml:space="preserve"> delivered </w:t>
      </w:r>
      <w:r w:rsidR="00A5029D" w:rsidRPr="00836A85">
        <w:rPr>
          <w:rFonts w:ascii="Brandon Grotesque Regular" w:hAnsi="Brandon Grotesque Regular"/>
          <w:color w:val="000000"/>
          <w:sz w:val="22"/>
          <w:szCs w:val="22"/>
        </w:rPr>
        <w:t>Pr</w:t>
      </w:r>
      <w:r w:rsidRPr="00836A85">
        <w:rPr>
          <w:rFonts w:ascii="Brandon Grotesque Regular" w:hAnsi="Brandon Grotesque Regular"/>
          <w:color w:val="000000"/>
          <w:sz w:val="22"/>
          <w:szCs w:val="22"/>
        </w:rPr>
        <w:t xml:space="preserve">o-forma </w:t>
      </w:r>
      <w:r w:rsidR="00A5029D" w:rsidRPr="00836A85">
        <w:rPr>
          <w:rFonts w:ascii="Brandon Grotesque Regular" w:hAnsi="Brandon Grotesque Regular"/>
          <w:color w:val="000000"/>
          <w:sz w:val="22"/>
          <w:szCs w:val="22"/>
        </w:rPr>
        <w:t>N</w:t>
      </w:r>
      <w:r w:rsidR="00515A8C" w:rsidRPr="00836A85">
        <w:rPr>
          <w:rFonts w:ascii="Brandon Grotesque Regular" w:hAnsi="Brandon Grotesque Regular"/>
          <w:color w:val="000000"/>
          <w:sz w:val="22"/>
          <w:szCs w:val="22"/>
        </w:rPr>
        <w:t>PAT</w:t>
      </w:r>
      <w:r w:rsidR="00D00ABB" w:rsidRPr="00836A85">
        <w:rPr>
          <w:rFonts w:ascii="Brandon Grotesque Regular" w:hAnsi="Brandon Grotesque Regular"/>
          <w:color w:val="000000"/>
          <w:sz w:val="22"/>
          <w:szCs w:val="22"/>
        </w:rPr>
        <w:t xml:space="preserve"> </w:t>
      </w:r>
      <w:r w:rsidRPr="00836A85">
        <w:rPr>
          <w:rFonts w:ascii="Brandon Grotesque Regular" w:hAnsi="Brandon Grotesque Regular"/>
          <w:color w:val="000000"/>
          <w:sz w:val="22"/>
          <w:szCs w:val="22"/>
        </w:rPr>
        <w:t>for the year</w:t>
      </w:r>
      <w:r w:rsidR="00BE0087" w:rsidRPr="00836A85">
        <w:rPr>
          <w:rFonts w:ascii="Brandon Grotesque Regular" w:hAnsi="Brandon Grotesque Regular"/>
          <w:color w:val="000000"/>
          <w:sz w:val="22"/>
          <w:szCs w:val="22"/>
        </w:rPr>
        <w:t xml:space="preserve"> at</w:t>
      </w:r>
      <w:r w:rsidRPr="00836A85">
        <w:rPr>
          <w:rFonts w:ascii="Brandon Grotesque Regular" w:hAnsi="Brandon Grotesque Regular"/>
          <w:color w:val="000000"/>
          <w:sz w:val="22"/>
          <w:szCs w:val="22"/>
        </w:rPr>
        <w:t xml:space="preserve"> $104.8 million, marking </w:t>
      </w:r>
      <w:r w:rsidR="00D00ABB" w:rsidRPr="00836A85">
        <w:rPr>
          <w:rFonts w:ascii="Brandon Grotesque Regular" w:hAnsi="Brandon Grotesque Regular"/>
          <w:color w:val="000000"/>
          <w:sz w:val="22"/>
          <w:szCs w:val="22"/>
        </w:rPr>
        <w:t xml:space="preserve">a </w:t>
      </w:r>
      <w:r w:rsidRPr="00836A85">
        <w:rPr>
          <w:rFonts w:ascii="Brandon Grotesque Regular" w:hAnsi="Brandon Grotesque Regular"/>
          <w:color w:val="000000"/>
          <w:sz w:val="22"/>
          <w:szCs w:val="22"/>
        </w:rPr>
        <w:t xml:space="preserve">7% </w:t>
      </w:r>
      <w:r w:rsidR="00A5029D" w:rsidRPr="00836A85">
        <w:rPr>
          <w:rFonts w:ascii="Brandon Grotesque Regular" w:hAnsi="Brandon Grotesque Regular"/>
          <w:color w:val="000000"/>
          <w:sz w:val="22"/>
          <w:szCs w:val="22"/>
        </w:rPr>
        <w:t>growth</w:t>
      </w:r>
      <w:r w:rsidR="00ED09B4" w:rsidRPr="00836A85">
        <w:rPr>
          <w:rFonts w:ascii="Brandon Grotesque Regular" w:hAnsi="Brandon Grotesque Regular"/>
          <w:color w:val="000000"/>
          <w:sz w:val="22"/>
          <w:szCs w:val="22"/>
        </w:rPr>
        <w:t xml:space="preserve"> on</w:t>
      </w:r>
      <w:r w:rsidRPr="00836A85">
        <w:rPr>
          <w:rFonts w:ascii="Brandon Grotesque Regular" w:hAnsi="Brandon Grotesque Regular"/>
          <w:color w:val="000000"/>
          <w:sz w:val="22"/>
          <w:szCs w:val="22"/>
        </w:rPr>
        <w:t xml:space="preserve"> prior year. </w:t>
      </w:r>
      <w:bookmarkStart w:id="1" w:name="_Hlk220149503"/>
    </w:p>
    <w:p w14:paraId="1C6CCB28" w14:textId="77777777" w:rsidR="00665436" w:rsidRPr="00836A85" w:rsidRDefault="00665436" w:rsidP="00836A85">
      <w:pPr>
        <w:spacing w:before="60" w:after="60" w:line="240" w:lineRule="auto"/>
        <w:rPr>
          <w:rFonts w:ascii="Brandon Grotesque Regular" w:hAnsi="Brandon Grotesque Regular"/>
          <w:sz w:val="22"/>
          <w:szCs w:val="22"/>
        </w:rPr>
      </w:pPr>
    </w:p>
    <w:bookmarkEnd w:id="1"/>
    <w:p w14:paraId="411FFCF2" w14:textId="65582058" w:rsidR="00851363" w:rsidRPr="00836A85" w:rsidRDefault="00851363" w:rsidP="00836A85">
      <w:pPr>
        <w:pStyle w:val="Heading1"/>
        <w:spacing w:before="60" w:after="60" w:line="240" w:lineRule="auto"/>
        <w:rPr>
          <w:rFonts w:ascii="Brandon Grotesque Regular" w:eastAsia="Times New Roman" w:hAnsi="Brandon Grotesque Regular"/>
          <w:color w:val="000000" w:themeColor="text1"/>
          <w:sz w:val="22"/>
          <w:szCs w:val="22"/>
        </w:rPr>
      </w:pPr>
      <w:r w:rsidRPr="00836A85">
        <w:rPr>
          <w:rFonts w:ascii="Brandon Grotesque Regular" w:eastAsia="Times New Roman" w:hAnsi="Brandon Grotesque Regular"/>
          <w:color w:val="000000" w:themeColor="text1"/>
          <w:sz w:val="22"/>
          <w:szCs w:val="22"/>
        </w:rPr>
        <w:t>Given the strength of the business performance, and the ongoing execution of our capital management strategy, we have been able to materially increase returns to our shareholders.</w:t>
      </w:r>
    </w:p>
    <w:p w14:paraId="0744BC23" w14:textId="77777777" w:rsidR="00851363" w:rsidRPr="00836A85" w:rsidRDefault="00851363" w:rsidP="00836A85">
      <w:pPr>
        <w:spacing w:before="60" w:after="60" w:line="240" w:lineRule="auto"/>
        <w:rPr>
          <w:rFonts w:ascii="Brandon Grotesque Regular" w:hAnsi="Brandon Grotesque Regular"/>
          <w:color w:val="000000" w:themeColor="text1"/>
          <w:sz w:val="22"/>
          <w:szCs w:val="22"/>
        </w:rPr>
      </w:pPr>
    </w:p>
    <w:p w14:paraId="260670AF" w14:textId="326A91C6" w:rsidR="00D00ABB" w:rsidRPr="00836A85" w:rsidRDefault="00851363" w:rsidP="00836A85">
      <w:pPr>
        <w:pStyle w:val="Heading1"/>
        <w:spacing w:before="60" w:after="60" w:line="240" w:lineRule="auto"/>
        <w:rPr>
          <w:rFonts w:ascii="Brandon Grotesque Regular" w:eastAsia="Times New Roman" w:hAnsi="Brandon Grotesque Regular"/>
          <w:color w:val="000000" w:themeColor="text1"/>
          <w:sz w:val="22"/>
          <w:szCs w:val="22"/>
        </w:rPr>
      </w:pPr>
      <w:r w:rsidRPr="00836A85">
        <w:rPr>
          <w:rFonts w:ascii="Brandon Grotesque Regular" w:eastAsia="Times New Roman" w:hAnsi="Brandon Grotesque Regular"/>
          <w:color w:val="000000" w:themeColor="text1"/>
          <w:sz w:val="22"/>
          <w:szCs w:val="22"/>
        </w:rPr>
        <w:t xml:space="preserve">On </w:t>
      </w:r>
      <w:r w:rsidR="00ED09B4" w:rsidRPr="00836A85">
        <w:rPr>
          <w:rFonts w:ascii="Brandon Grotesque Regular" w:eastAsia="Times New Roman" w:hAnsi="Brandon Grotesque Regular"/>
          <w:color w:val="000000" w:themeColor="text1"/>
          <w:sz w:val="22"/>
          <w:szCs w:val="22"/>
        </w:rPr>
        <w:t>June 3</w:t>
      </w:r>
      <w:r w:rsidR="00ED09B4" w:rsidRPr="00836A85">
        <w:rPr>
          <w:rFonts w:ascii="Brandon Grotesque Regular" w:eastAsia="Times New Roman" w:hAnsi="Brandon Grotesque Regular"/>
          <w:color w:val="000000" w:themeColor="text1"/>
          <w:sz w:val="22"/>
          <w:szCs w:val="22"/>
          <w:vertAlign w:val="superscript"/>
        </w:rPr>
        <w:t>rd</w:t>
      </w:r>
      <w:r w:rsidR="00ED09B4" w:rsidRPr="00836A85">
        <w:rPr>
          <w:rFonts w:ascii="Brandon Grotesque Regular" w:eastAsia="Times New Roman" w:hAnsi="Brandon Grotesque Regular"/>
          <w:color w:val="000000" w:themeColor="text1"/>
          <w:sz w:val="22"/>
          <w:szCs w:val="22"/>
        </w:rPr>
        <w:t xml:space="preserve"> </w:t>
      </w:r>
      <w:r w:rsidRPr="00836A85">
        <w:rPr>
          <w:rFonts w:ascii="Brandon Grotesque Regular" w:eastAsia="Times New Roman" w:hAnsi="Brandon Grotesque Regular"/>
          <w:color w:val="000000" w:themeColor="text1"/>
          <w:sz w:val="22"/>
          <w:szCs w:val="22"/>
        </w:rPr>
        <w:t xml:space="preserve">we announced a fully franked Special dividend of 12.5 cents per share.  Following our strong half year performance, the Board announced a 2025 fully franked Interim dividend of 6.4 cents per share.  </w:t>
      </w:r>
    </w:p>
    <w:p w14:paraId="30EA027D" w14:textId="77777777" w:rsidR="001B203C" w:rsidRPr="00836A85" w:rsidRDefault="001B203C" w:rsidP="00836A85">
      <w:pPr>
        <w:spacing w:before="60" w:after="60" w:line="240" w:lineRule="auto"/>
        <w:rPr>
          <w:rFonts w:ascii="Brandon Grotesque Regular" w:hAnsi="Brandon Grotesque Regular"/>
          <w:sz w:val="22"/>
          <w:szCs w:val="22"/>
        </w:rPr>
      </w:pPr>
    </w:p>
    <w:p w14:paraId="56DAE1D9" w14:textId="224F517F" w:rsidR="00D00ABB" w:rsidRPr="00836A85" w:rsidRDefault="00851363" w:rsidP="00836A85">
      <w:pPr>
        <w:pStyle w:val="Heading1"/>
        <w:spacing w:before="60" w:after="60" w:line="240" w:lineRule="auto"/>
        <w:rPr>
          <w:rFonts w:ascii="Brandon Grotesque Regular" w:hAnsi="Brandon Grotesque Regular"/>
          <w:color w:val="000000" w:themeColor="text1"/>
          <w:sz w:val="22"/>
          <w:szCs w:val="22"/>
        </w:rPr>
      </w:pPr>
      <w:r w:rsidRPr="00836A85">
        <w:rPr>
          <w:rFonts w:ascii="Brandon Grotesque Regular" w:eastAsia="Times New Roman" w:hAnsi="Brandon Grotesque Regular"/>
          <w:color w:val="000000" w:themeColor="text1"/>
          <w:sz w:val="22"/>
          <w:szCs w:val="22"/>
        </w:rPr>
        <w:t xml:space="preserve">Given our second half results for 2025, the </w:t>
      </w:r>
      <w:r w:rsidRPr="00836A85">
        <w:rPr>
          <w:rFonts w:ascii="Brandon Grotesque Regular" w:hAnsi="Brandon Grotesque Regular"/>
          <w:color w:val="000000" w:themeColor="text1"/>
          <w:sz w:val="22"/>
          <w:szCs w:val="22"/>
        </w:rPr>
        <w:t xml:space="preserve">Board has declared a fully franked Final dividend of 7.8 cents per share to be paid </w:t>
      </w:r>
      <w:r w:rsidR="00D00ABB" w:rsidRPr="00836A85">
        <w:rPr>
          <w:rFonts w:ascii="Brandon Grotesque Regular" w:hAnsi="Brandon Grotesque Regular"/>
          <w:color w:val="000000" w:themeColor="text1"/>
          <w:sz w:val="22"/>
          <w:szCs w:val="22"/>
        </w:rPr>
        <w:t>on</w:t>
      </w:r>
      <w:r w:rsidR="007948B1" w:rsidRPr="00836A85">
        <w:rPr>
          <w:rFonts w:ascii="Brandon Grotesque Regular" w:hAnsi="Brandon Grotesque Regular"/>
          <w:color w:val="000000" w:themeColor="text1"/>
          <w:sz w:val="22"/>
          <w:szCs w:val="22"/>
        </w:rPr>
        <w:t xml:space="preserve"> the</w:t>
      </w:r>
      <w:r w:rsidR="00D00ABB" w:rsidRPr="00836A85">
        <w:rPr>
          <w:rFonts w:ascii="Brandon Grotesque Regular" w:hAnsi="Brandon Grotesque Regular"/>
          <w:color w:val="000000" w:themeColor="text1"/>
          <w:sz w:val="22"/>
          <w:szCs w:val="22"/>
        </w:rPr>
        <w:t xml:space="preserve"> </w:t>
      </w:r>
      <w:r w:rsidRPr="00836A85">
        <w:rPr>
          <w:rFonts w:ascii="Brandon Grotesque Regular" w:hAnsi="Brandon Grotesque Regular"/>
          <w:color w:val="000000" w:themeColor="text1"/>
          <w:sz w:val="22"/>
          <w:szCs w:val="22"/>
        </w:rPr>
        <w:t>16</w:t>
      </w:r>
      <w:r w:rsidR="00D00ABB" w:rsidRPr="00836A85">
        <w:rPr>
          <w:rFonts w:ascii="Brandon Grotesque Regular" w:hAnsi="Brandon Grotesque Regular"/>
          <w:color w:val="000000" w:themeColor="text1"/>
          <w:sz w:val="22"/>
          <w:szCs w:val="22"/>
          <w:vertAlign w:val="superscript"/>
        </w:rPr>
        <w:t>th</w:t>
      </w:r>
      <w:r w:rsidR="00D00ABB" w:rsidRPr="00836A85">
        <w:rPr>
          <w:rFonts w:ascii="Brandon Grotesque Regular" w:hAnsi="Brandon Grotesque Regular"/>
          <w:color w:val="000000" w:themeColor="text1"/>
          <w:sz w:val="22"/>
          <w:szCs w:val="22"/>
        </w:rPr>
        <w:t xml:space="preserve"> of </w:t>
      </w:r>
      <w:r w:rsidRPr="00836A85">
        <w:rPr>
          <w:rFonts w:ascii="Brandon Grotesque Regular" w:hAnsi="Brandon Grotesque Regular"/>
          <w:color w:val="000000" w:themeColor="text1"/>
          <w:sz w:val="22"/>
          <w:szCs w:val="22"/>
        </w:rPr>
        <w:t>April 2026.  The Final dividend represents a payout ratio of 60.0% of the Pro-forma NPAT f</w:t>
      </w:r>
      <w:r w:rsidR="00A5029D" w:rsidRPr="00836A85">
        <w:rPr>
          <w:rFonts w:ascii="Brandon Grotesque Regular" w:hAnsi="Brandon Grotesque Regular"/>
          <w:color w:val="000000" w:themeColor="text1"/>
          <w:sz w:val="22"/>
          <w:szCs w:val="22"/>
        </w:rPr>
        <w:t>or</w:t>
      </w:r>
      <w:r w:rsidRPr="00836A85">
        <w:rPr>
          <w:rFonts w:ascii="Brandon Grotesque Regular" w:hAnsi="Brandon Grotesque Regular"/>
          <w:color w:val="000000" w:themeColor="text1"/>
          <w:sz w:val="22"/>
          <w:szCs w:val="22"/>
        </w:rPr>
        <w:t xml:space="preserve"> the period 1 July 2025 to 31 December 2025. </w:t>
      </w:r>
    </w:p>
    <w:p w14:paraId="4B0088AB" w14:textId="77777777" w:rsidR="001B203C" w:rsidRPr="00836A85" w:rsidRDefault="001B203C" w:rsidP="00836A85">
      <w:pPr>
        <w:spacing w:before="60" w:after="60" w:line="240" w:lineRule="auto"/>
        <w:rPr>
          <w:rFonts w:ascii="Brandon Grotesque Regular" w:hAnsi="Brandon Grotesque Regular"/>
          <w:sz w:val="22"/>
          <w:szCs w:val="22"/>
        </w:rPr>
      </w:pPr>
    </w:p>
    <w:p w14:paraId="679AD1B8" w14:textId="57F626D0" w:rsidR="00851363" w:rsidRPr="00836A85" w:rsidRDefault="00851363" w:rsidP="00836A85">
      <w:pPr>
        <w:pStyle w:val="Heading1"/>
        <w:spacing w:before="60" w:after="60" w:line="240" w:lineRule="auto"/>
        <w:rPr>
          <w:rFonts w:ascii="Brandon Grotesque Regular" w:hAnsi="Brandon Grotesque Regular"/>
          <w:color w:val="000000" w:themeColor="text1"/>
          <w:sz w:val="22"/>
          <w:szCs w:val="22"/>
        </w:rPr>
      </w:pPr>
      <w:r w:rsidRPr="00836A85">
        <w:rPr>
          <w:rFonts w:ascii="Brandon Grotesque Regular" w:hAnsi="Brandon Grotesque Regular"/>
          <w:color w:val="000000" w:themeColor="text1"/>
          <w:sz w:val="22"/>
          <w:szCs w:val="22"/>
        </w:rPr>
        <w:t xml:space="preserve">So, in respect to our 2025 performance we have declared </w:t>
      </w:r>
      <w:r w:rsidR="001B203C" w:rsidRPr="00836A85">
        <w:rPr>
          <w:rFonts w:ascii="Brandon Grotesque Regular" w:hAnsi="Brandon Grotesque Regular"/>
          <w:color w:val="000000" w:themeColor="text1"/>
          <w:sz w:val="22"/>
          <w:szCs w:val="22"/>
        </w:rPr>
        <w:t xml:space="preserve">a </w:t>
      </w:r>
      <w:r w:rsidRPr="00836A85">
        <w:rPr>
          <w:rFonts w:ascii="Brandon Grotesque Regular" w:hAnsi="Brandon Grotesque Regular"/>
          <w:color w:val="000000" w:themeColor="text1"/>
          <w:sz w:val="22"/>
          <w:szCs w:val="22"/>
        </w:rPr>
        <w:t xml:space="preserve">fully franked dividend of 26.7 cents per share, equating to $118.6 million being returned to </w:t>
      </w:r>
      <w:r w:rsidR="001B203C" w:rsidRPr="00836A85">
        <w:rPr>
          <w:rFonts w:ascii="Brandon Grotesque Regular" w:hAnsi="Brandon Grotesque Regular"/>
          <w:color w:val="000000" w:themeColor="text1"/>
          <w:sz w:val="22"/>
          <w:szCs w:val="22"/>
        </w:rPr>
        <w:t xml:space="preserve">our </w:t>
      </w:r>
      <w:r w:rsidRPr="00836A85">
        <w:rPr>
          <w:rFonts w:ascii="Brandon Grotesque Regular" w:hAnsi="Brandon Grotesque Regular"/>
          <w:color w:val="000000" w:themeColor="text1"/>
          <w:sz w:val="22"/>
          <w:szCs w:val="22"/>
        </w:rPr>
        <w:t>shareholders – an increase of 123% over 2024.</w:t>
      </w:r>
    </w:p>
    <w:p w14:paraId="6EDA61B1" w14:textId="77777777" w:rsidR="001B203C" w:rsidRPr="00836A85" w:rsidRDefault="001B203C" w:rsidP="00836A85">
      <w:pPr>
        <w:spacing w:before="60" w:after="60" w:line="240" w:lineRule="auto"/>
        <w:rPr>
          <w:rFonts w:ascii="Brandon Grotesque Regular" w:hAnsi="Brandon Grotesque Regular"/>
          <w:sz w:val="22"/>
          <w:szCs w:val="22"/>
        </w:rPr>
      </w:pPr>
    </w:p>
    <w:p w14:paraId="1E519AFD" w14:textId="484329D3" w:rsidR="00851363" w:rsidRPr="00836A85" w:rsidRDefault="006770DE"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color w:val="000000"/>
          <w:sz w:val="22"/>
          <w:szCs w:val="22"/>
        </w:rPr>
        <w:t xml:space="preserve">Our team consistently embodies our core values, which form the foundation of our brand promise. The high level of employee engagement reflects the strength of our leadership and the culture we have developed, driven by our values of Can Do, Balanced, and Real. Our annual Employee Engagement score is robust at 81, marking a six-point improvement over last year. </w:t>
      </w:r>
      <w:r w:rsidR="00851363" w:rsidRPr="00836A85">
        <w:rPr>
          <w:rFonts w:ascii="Brandon Grotesque Regular" w:hAnsi="Brandon Grotesque Regular"/>
          <w:sz w:val="22"/>
          <w:szCs w:val="22"/>
        </w:rPr>
        <w:t xml:space="preserve"> </w:t>
      </w:r>
    </w:p>
    <w:p w14:paraId="774F61E0" w14:textId="77777777" w:rsidR="00665436" w:rsidRPr="00836A85" w:rsidRDefault="00665436" w:rsidP="00836A85">
      <w:pPr>
        <w:spacing w:before="60" w:after="60" w:line="240" w:lineRule="auto"/>
        <w:rPr>
          <w:rFonts w:ascii="Brandon Grotesque Regular" w:hAnsi="Brandon Grotesque Regular"/>
          <w:sz w:val="22"/>
          <w:szCs w:val="22"/>
        </w:rPr>
      </w:pPr>
    </w:p>
    <w:p w14:paraId="49BC50D9" w14:textId="250EB8E1" w:rsidR="006770DE" w:rsidRPr="00836A85" w:rsidRDefault="006770DE" w:rsidP="00836A85">
      <w:pPr>
        <w:spacing w:before="60" w:after="60" w:line="240" w:lineRule="auto"/>
        <w:rPr>
          <w:rFonts w:ascii="Brandon Grotesque Regular" w:hAnsi="Brandon Grotesque Regular"/>
          <w:color w:val="000000"/>
          <w:sz w:val="22"/>
          <w:szCs w:val="22"/>
        </w:rPr>
      </w:pPr>
      <w:r w:rsidRPr="00836A85">
        <w:rPr>
          <w:rFonts w:ascii="Brandon Grotesque Regular" w:hAnsi="Brandon Grotesque Regular"/>
          <w:color w:val="000000"/>
          <w:sz w:val="22"/>
          <w:szCs w:val="22"/>
        </w:rPr>
        <w:t xml:space="preserve">Launched in 2024, our "X Factor" initiative represents a comprehensive business strategy designed to consistently deliver outstanding experiences to our customers, partners, and employees by leveraging the unique capabilities </w:t>
      </w:r>
      <w:r w:rsidR="00D00ABB" w:rsidRPr="00836A85">
        <w:rPr>
          <w:rFonts w:ascii="Brandon Grotesque Regular" w:hAnsi="Brandon Grotesque Regular"/>
          <w:color w:val="000000"/>
          <w:sz w:val="22"/>
          <w:szCs w:val="22"/>
        </w:rPr>
        <w:t>defined as our</w:t>
      </w:r>
      <w:r w:rsidRPr="00836A85">
        <w:rPr>
          <w:rFonts w:ascii="Brandon Grotesque Regular" w:hAnsi="Brandon Grotesque Regular"/>
          <w:color w:val="000000"/>
          <w:sz w:val="22"/>
          <w:szCs w:val="22"/>
        </w:rPr>
        <w:t xml:space="preserve"> "X" factor. This approach has yielded positive outcomes, as evidenced by our industry-leading customer and partner net promoter scores. By the end of 2025, we have assisted more than 614,000 customers and are well positioned to achieve our goal of supporting 1 million customers by the end of 2029. </w:t>
      </w:r>
    </w:p>
    <w:p w14:paraId="7D67B875" w14:textId="77777777" w:rsidR="00665436" w:rsidRPr="00836A85" w:rsidRDefault="00665436" w:rsidP="00836A85">
      <w:pPr>
        <w:spacing w:before="60" w:after="60" w:line="240" w:lineRule="auto"/>
        <w:rPr>
          <w:rFonts w:ascii="Brandon Grotesque Regular" w:hAnsi="Brandon Grotesque Regular"/>
          <w:sz w:val="22"/>
          <w:szCs w:val="22"/>
        </w:rPr>
      </w:pPr>
    </w:p>
    <w:p w14:paraId="27A97021" w14:textId="0D98555C" w:rsidR="006770DE" w:rsidRPr="00836A85" w:rsidRDefault="006770DE"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color w:val="000000"/>
          <w:sz w:val="22"/>
          <w:szCs w:val="22"/>
        </w:rPr>
        <w:t xml:space="preserve">Our accomplishments would not have been possible without the dedication of our motivated and engaged employees, as well as the support from customers and partners. </w:t>
      </w:r>
    </w:p>
    <w:p w14:paraId="4C122B96" w14:textId="2A3F5CE2" w:rsidR="00851363" w:rsidRPr="00836A85" w:rsidRDefault="00851363" w:rsidP="00836A85">
      <w:pPr>
        <w:spacing w:before="60" w:after="60" w:line="240" w:lineRule="auto"/>
        <w:rPr>
          <w:rFonts w:ascii="Brandon Grotesque Regular" w:eastAsiaTheme="majorEastAsia" w:hAnsi="Brandon Grotesque Regular" w:cstheme="majorBidi"/>
          <w:color w:val="000000" w:themeColor="text1"/>
          <w:sz w:val="22"/>
          <w:szCs w:val="22"/>
        </w:rPr>
      </w:pPr>
    </w:p>
    <w:p w14:paraId="42A4CE86" w14:textId="1CC1D6DC" w:rsidR="001428B2" w:rsidRPr="00836A85" w:rsidRDefault="00860495" w:rsidP="00836A85">
      <w:pPr>
        <w:spacing w:before="60" w:after="60" w:line="240" w:lineRule="auto"/>
        <w:rPr>
          <w:rFonts w:ascii="Brandon Grotesque Regular" w:eastAsiaTheme="majorEastAsia" w:hAnsi="Brandon Grotesque Regular" w:cstheme="majorBidi"/>
          <w:color w:val="000000" w:themeColor="text1"/>
          <w:sz w:val="22"/>
          <w:szCs w:val="22"/>
        </w:rPr>
      </w:pPr>
      <w:r w:rsidRPr="00836A85">
        <w:rPr>
          <w:rFonts w:ascii="Brandon Grotesque Regular" w:eastAsiaTheme="majorEastAsia" w:hAnsi="Brandon Grotesque Regular" w:cstheme="majorBidi"/>
          <w:color w:val="000000" w:themeColor="text1"/>
          <w:sz w:val="22"/>
          <w:szCs w:val="22"/>
        </w:rPr>
        <w:t>T</w:t>
      </w:r>
      <w:r w:rsidR="001428B2" w:rsidRPr="00836A85">
        <w:rPr>
          <w:rFonts w:ascii="Brandon Grotesque Regular" w:eastAsiaTheme="majorEastAsia" w:hAnsi="Brandon Grotesque Regular" w:cstheme="majorBidi"/>
          <w:color w:val="000000" w:themeColor="text1"/>
          <w:sz w:val="22"/>
          <w:szCs w:val="22"/>
        </w:rPr>
        <w:t>urning to</w:t>
      </w:r>
      <w:r w:rsidRPr="00836A85">
        <w:rPr>
          <w:rFonts w:ascii="Brandon Grotesque Regular" w:eastAsiaTheme="majorEastAsia" w:hAnsi="Brandon Grotesque Regular" w:cstheme="majorBidi"/>
          <w:color w:val="000000" w:themeColor="text1"/>
          <w:sz w:val="22"/>
          <w:szCs w:val="22"/>
        </w:rPr>
        <w:t xml:space="preserve"> our</w:t>
      </w:r>
      <w:r w:rsidR="001428B2" w:rsidRPr="00836A85">
        <w:rPr>
          <w:rFonts w:ascii="Brandon Grotesque Regular" w:eastAsiaTheme="majorEastAsia" w:hAnsi="Brandon Grotesque Regular" w:cstheme="majorBidi"/>
          <w:color w:val="000000" w:themeColor="text1"/>
          <w:sz w:val="22"/>
          <w:szCs w:val="22"/>
        </w:rPr>
        <w:t xml:space="preserve"> performance outcomes for 2025</w:t>
      </w:r>
      <w:r w:rsidRPr="00836A85">
        <w:rPr>
          <w:rFonts w:ascii="Brandon Grotesque Regular" w:eastAsiaTheme="majorEastAsia" w:hAnsi="Brandon Grotesque Regular" w:cstheme="majorBidi"/>
          <w:color w:val="000000" w:themeColor="text1"/>
          <w:sz w:val="22"/>
          <w:szCs w:val="22"/>
        </w:rPr>
        <w:t>.</w:t>
      </w:r>
    </w:p>
    <w:p w14:paraId="32ABCBB9" w14:textId="4ABB2F5D" w:rsidR="001428B2" w:rsidRDefault="001428B2" w:rsidP="00836A85">
      <w:pPr>
        <w:spacing w:before="60" w:after="60" w:line="240" w:lineRule="auto"/>
        <w:rPr>
          <w:rFonts w:ascii="Brandon Grotesque Regular" w:eastAsiaTheme="majorEastAsia" w:hAnsi="Brandon Grotesque Regular" w:cstheme="majorBidi"/>
          <w:color w:val="000000" w:themeColor="text1"/>
          <w:sz w:val="22"/>
          <w:szCs w:val="22"/>
        </w:rPr>
      </w:pPr>
    </w:p>
    <w:p w14:paraId="15BEDA05" w14:textId="77777777" w:rsidR="00836A85" w:rsidRDefault="00836A85" w:rsidP="00836A85">
      <w:pPr>
        <w:spacing w:before="60" w:after="60" w:line="240" w:lineRule="auto"/>
        <w:rPr>
          <w:rFonts w:ascii="Brandon Grotesque Regular" w:eastAsiaTheme="majorEastAsia" w:hAnsi="Brandon Grotesque Regular" w:cstheme="majorBidi"/>
          <w:color w:val="000000" w:themeColor="text1"/>
          <w:sz w:val="22"/>
          <w:szCs w:val="22"/>
        </w:rPr>
      </w:pPr>
    </w:p>
    <w:p w14:paraId="109B201B" w14:textId="77777777" w:rsidR="00836A85" w:rsidRDefault="00836A85" w:rsidP="00836A85">
      <w:pPr>
        <w:spacing w:before="60" w:after="60" w:line="240" w:lineRule="auto"/>
        <w:rPr>
          <w:rFonts w:ascii="Brandon Grotesque Regular" w:eastAsiaTheme="majorEastAsia" w:hAnsi="Brandon Grotesque Regular" w:cstheme="majorBidi"/>
          <w:color w:val="000000" w:themeColor="text1"/>
          <w:sz w:val="22"/>
          <w:szCs w:val="22"/>
        </w:rPr>
      </w:pPr>
    </w:p>
    <w:p w14:paraId="602F1FF2" w14:textId="77777777" w:rsidR="00836A85" w:rsidRPr="00836A85" w:rsidRDefault="00836A85" w:rsidP="00836A85">
      <w:pPr>
        <w:spacing w:before="60" w:after="60" w:line="240" w:lineRule="auto"/>
        <w:rPr>
          <w:rFonts w:ascii="Brandon Grotesque Regular" w:eastAsiaTheme="majorEastAsia" w:hAnsi="Brandon Grotesque Regular" w:cstheme="majorBidi"/>
          <w:color w:val="000000" w:themeColor="text1"/>
          <w:sz w:val="22"/>
          <w:szCs w:val="22"/>
        </w:rPr>
      </w:pPr>
    </w:p>
    <w:p w14:paraId="6F3D418D" w14:textId="77777777" w:rsidR="006E62ED" w:rsidRPr="00836A85" w:rsidRDefault="006E62ED"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b/>
          <w:bCs/>
          <w:caps/>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lastRenderedPageBreak/>
        <w:t>slide number 5</w:t>
      </w:r>
    </w:p>
    <w:p w14:paraId="0CDB6C0F" w14:textId="6F7B8C05" w:rsidR="00C27053" w:rsidRPr="00836A85" w:rsidRDefault="001428B2" w:rsidP="00836A85">
      <w:pPr>
        <w:spacing w:before="60" w:after="60" w:line="240" w:lineRule="auto"/>
        <w:contextualSpacing/>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All initiatives we implemented over the second half of 2024 and into 2025 – including new product development, modifications and </w:t>
      </w:r>
      <w:r w:rsidR="00A5029D" w:rsidRPr="00836A85">
        <w:rPr>
          <w:rFonts w:ascii="Brandon Grotesque Regular" w:eastAsiaTheme="minorEastAsia" w:hAnsi="Brandon Grotesque Regular" w:cstheme="minorHAnsi"/>
          <w:color w:val="000000" w:themeColor="text1"/>
          <w:sz w:val="22"/>
          <w:szCs w:val="22"/>
          <w:lang w:val="en-GB" w:bidi="ar-SA"/>
        </w:rPr>
        <w:t>expansions</w:t>
      </w:r>
      <w:r w:rsidRPr="00836A85">
        <w:rPr>
          <w:rFonts w:ascii="Brandon Grotesque Regular" w:eastAsiaTheme="minorEastAsia" w:hAnsi="Brandon Grotesque Regular" w:cstheme="minorHAnsi"/>
          <w:color w:val="000000" w:themeColor="text1"/>
          <w:sz w:val="22"/>
          <w:szCs w:val="22"/>
          <w:lang w:val="en-GB" w:bidi="ar-SA"/>
        </w:rPr>
        <w:t xml:space="preserve"> to our credit policies – </w:t>
      </w:r>
      <w:r w:rsidR="00C25866" w:rsidRPr="00836A85">
        <w:rPr>
          <w:rFonts w:ascii="Brandon Grotesque Regular" w:eastAsiaTheme="minorEastAsia" w:hAnsi="Brandon Grotesque Regular" w:cstheme="minorHAnsi"/>
          <w:color w:val="000000" w:themeColor="text1"/>
          <w:sz w:val="22"/>
          <w:szCs w:val="22"/>
          <w:lang w:val="en-GB" w:bidi="ar-SA"/>
        </w:rPr>
        <w:t xml:space="preserve">have </w:t>
      </w:r>
      <w:r w:rsidRPr="00836A85">
        <w:rPr>
          <w:rFonts w:ascii="Brandon Grotesque Regular" w:eastAsiaTheme="minorEastAsia" w:hAnsi="Brandon Grotesque Regular" w:cstheme="minorHAnsi"/>
          <w:color w:val="000000" w:themeColor="text1"/>
          <w:sz w:val="22"/>
          <w:szCs w:val="22"/>
          <w:lang w:val="en-GB" w:bidi="ar-SA"/>
        </w:rPr>
        <w:t>paid benefits.</w:t>
      </w:r>
    </w:p>
    <w:p w14:paraId="602C5988" w14:textId="77777777" w:rsidR="001428B2" w:rsidRPr="00836A85" w:rsidRDefault="001428B2" w:rsidP="00836A85">
      <w:pPr>
        <w:spacing w:before="60" w:after="60" w:line="240" w:lineRule="auto"/>
        <w:contextualSpacing/>
        <w:rPr>
          <w:rFonts w:ascii="Brandon Grotesque Regular" w:eastAsiaTheme="minorEastAsia" w:hAnsi="Brandon Grotesque Regular" w:cstheme="minorHAnsi"/>
          <w:color w:val="000000" w:themeColor="text1"/>
          <w:sz w:val="22"/>
          <w:szCs w:val="22"/>
          <w:lang w:val="en-GB" w:bidi="ar-SA"/>
        </w:rPr>
      </w:pPr>
    </w:p>
    <w:p w14:paraId="195FE7C5" w14:textId="40D74C95" w:rsidR="001428B2" w:rsidRPr="00836A85" w:rsidRDefault="001428B2" w:rsidP="00836A85">
      <w:pPr>
        <w:spacing w:before="60" w:after="60" w:line="240" w:lineRule="auto"/>
        <w:contextualSpacing/>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Over </w:t>
      </w:r>
      <w:r w:rsidR="00A5029D" w:rsidRPr="00836A85">
        <w:rPr>
          <w:rFonts w:ascii="Brandon Grotesque Regular" w:eastAsiaTheme="minorEastAsia" w:hAnsi="Brandon Grotesque Regular" w:cstheme="minorHAnsi"/>
          <w:color w:val="000000" w:themeColor="text1"/>
          <w:sz w:val="22"/>
          <w:szCs w:val="22"/>
          <w:lang w:val="en-GB" w:bidi="ar-SA"/>
        </w:rPr>
        <w:t>20</w:t>
      </w:r>
      <w:r w:rsidRPr="00836A85">
        <w:rPr>
          <w:rFonts w:ascii="Brandon Grotesque Regular" w:eastAsiaTheme="minorEastAsia" w:hAnsi="Brandon Grotesque Regular" w:cstheme="minorHAnsi"/>
          <w:color w:val="000000" w:themeColor="text1"/>
          <w:sz w:val="22"/>
          <w:szCs w:val="22"/>
          <w:lang w:val="en-GB" w:bidi="ar-SA"/>
        </w:rPr>
        <w:t>25, total Applications increased by 40% versus PCP, and 22% over the second half of the year versus first half.</w:t>
      </w:r>
      <w:r w:rsidR="00C25866" w:rsidRPr="00836A85">
        <w:rPr>
          <w:rFonts w:ascii="Brandon Grotesque Regular" w:eastAsiaTheme="minorEastAsia" w:hAnsi="Brandon Grotesque Regular" w:cstheme="minorHAnsi"/>
          <w:color w:val="000000" w:themeColor="text1"/>
          <w:sz w:val="22"/>
          <w:szCs w:val="22"/>
          <w:lang w:val="en-GB" w:bidi="ar-SA"/>
        </w:rPr>
        <w:t xml:space="preserve">  Application growth positively translated to Originations – which in total grew by 47% year on year to close at $10.3 billion – which in turn drove AUM.    Total AUM – including Servicing AUM </w:t>
      </w:r>
      <w:r w:rsidR="00A5029D" w:rsidRPr="00836A85">
        <w:rPr>
          <w:rFonts w:ascii="Brandon Grotesque Regular" w:eastAsiaTheme="minorEastAsia" w:hAnsi="Brandon Grotesque Regular" w:cstheme="minorHAnsi"/>
          <w:color w:val="000000" w:themeColor="text1"/>
          <w:sz w:val="22"/>
          <w:szCs w:val="22"/>
          <w:lang w:val="en-GB" w:bidi="ar-SA"/>
        </w:rPr>
        <w:t>which includes</w:t>
      </w:r>
      <w:r w:rsidR="00C25866" w:rsidRPr="00836A85">
        <w:rPr>
          <w:rFonts w:ascii="Brandon Grotesque Regular" w:eastAsiaTheme="minorEastAsia" w:hAnsi="Brandon Grotesque Regular" w:cstheme="minorHAnsi"/>
          <w:color w:val="000000" w:themeColor="text1"/>
          <w:sz w:val="22"/>
          <w:szCs w:val="22"/>
          <w:lang w:val="en-GB" w:bidi="ar-SA"/>
        </w:rPr>
        <w:t xml:space="preserve"> AUM transferred under our Whole Loan Sales program – closed 2025 at a record $21.8 billion, up 14% on December 2024 close.</w:t>
      </w:r>
    </w:p>
    <w:p w14:paraId="0F43004C" w14:textId="77777777" w:rsidR="001428B2" w:rsidRPr="00836A85" w:rsidRDefault="001428B2" w:rsidP="00836A85">
      <w:pPr>
        <w:spacing w:before="60" w:after="60" w:line="240" w:lineRule="auto"/>
        <w:contextualSpacing/>
        <w:rPr>
          <w:rFonts w:ascii="Brandon Grotesque Regular" w:eastAsiaTheme="minorEastAsia" w:hAnsi="Brandon Grotesque Regular" w:cstheme="minorHAnsi"/>
          <w:color w:val="000000" w:themeColor="text1"/>
          <w:sz w:val="22"/>
          <w:szCs w:val="22"/>
          <w:lang w:val="en-GB" w:bidi="ar-SA"/>
        </w:rPr>
      </w:pPr>
    </w:p>
    <w:p w14:paraId="4CC35C90" w14:textId="4339D81A" w:rsidR="001428B2" w:rsidRPr="00836A85" w:rsidRDefault="007406CB" w:rsidP="00836A85">
      <w:pPr>
        <w:spacing w:before="60" w:after="60" w:line="240" w:lineRule="auto"/>
        <w:rPr>
          <w:rFonts w:ascii="Brandon Grotesque Regular" w:hAnsi="Brandon Grotesque Regular"/>
          <w:color w:val="000000"/>
          <w:sz w:val="22"/>
          <w:szCs w:val="22"/>
        </w:rPr>
      </w:pPr>
      <w:r w:rsidRPr="00836A85">
        <w:rPr>
          <w:rFonts w:ascii="Brandon Grotesque Regular" w:hAnsi="Brandon Grotesque Regular"/>
          <w:color w:val="000000"/>
          <w:sz w:val="22"/>
          <w:szCs w:val="22"/>
        </w:rPr>
        <w:t xml:space="preserve">Mortgage applications increased by 64% on PCP, 31% </w:t>
      </w:r>
      <w:r w:rsidR="00A5029D" w:rsidRPr="00836A85">
        <w:rPr>
          <w:rFonts w:ascii="Brandon Grotesque Regular" w:hAnsi="Brandon Grotesque Regular"/>
          <w:color w:val="000000"/>
          <w:sz w:val="22"/>
          <w:szCs w:val="22"/>
        </w:rPr>
        <w:t xml:space="preserve">versus </w:t>
      </w:r>
      <w:r w:rsidRPr="00836A85">
        <w:rPr>
          <w:rFonts w:ascii="Brandon Grotesque Regular" w:hAnsi="Brandon Grotesque Regular"/>
          <w:color w:val="000000"/>
          <w:sz w:val="22"/>
          <w:szCs w:val="22"/>
        </w:rPr>
        <w:t>the first half of 2025, and 65%</w:t>
      </w:r>
      <w:r w:rsidR="00A5029D" w:rsidRPr="00836A85">
        <w:rPr>
          <w:rFonts w:ascii="Brandon Grotesque Regular" w:hAnsi="Brandon Grotesque Regular"/>
          <w:color w:val="000000"/>
          <w:sz w:val="22"/>
          <w:szCs w:val="22"/>
        </w:rPr>
        <w:t xml:space="preserve"> versus </w:t>
      </w:r>
      <w:r w:rsidRPr="00836A85">
        <w:rPr>
          <w:rFonts w:ascii="Brandon Grotesque Regular" w:hAnsi="Brandon Grotesque Regular"/>
          <w:color w:val="000000"/>
          <w:sz w:val="22"/>
          <w:szCs w:val="22"/>
        </w:rPr>
        <w:t xml:space="preserve"> the second half of 2024. This strong growth in applications led to a 66% year-on-year rise in Mortgage Originations. Our strategies enabled our Mortgage business to grow 6.7 times system in the second half of 2025 compared to the first half of the year. </w:t>
      </w:r>
    </w:p>
    <w:p w14:paraId="4F468B09" w14:textId="77777777" w:rsidR="00665436" w:rsidRPr="00836A85" w:rsidRDefault="00665436" w:rsidP="00836A85">
      <w:pPr>
        <w:spacing w:before="60" w:after="60" w:line="240" w:lineRule="auto"/>
        <w:rPr>
          <w:rFonts w:ascii="Brandon Grotesque Regular" w:hAnsi="Brandon Grotesque Regular"/>
          <w:sz w:val="22"/>
          <w:szCs w:val="22"/>
          <w:lang w:val="en-GB" w:bidi="ar-SA"/>
        </w:rPr>
      </w:pPr>
    </w:p>
    <w:p w14:paraId="3A205A58" w14:textId="1103B5D6" w:rsidR="001428B2" w:rsidRPr="00836A85" w:rsidRDefault="007406CB" w:rsidP="00836A85">
      <w:pPr>
        <w:spacing w:before="60" w:after="60" w:line="240" w:lineRule="auto"/>
        <w:rPr>
          <w:rFonts w:ascii="Brandon Grotesque Regular" w:hAnsi="Brandon Grotesque Regular"/>
          <w:color w:val="000000"/>
          <w:sz w:val="22"/>
          <w:szCs w:val="22"/>
        </w:rPr>
      </w:pPr>
      <w:r w:rsidRPr="00836A85">
        <w:rPr>
          <w:rFonts w:ascii="Brandon Grotesque Regular" w:hAnsi="Brandon Grotesque Regular"/>
          <w:color w:val="000000"/>
          <w:sz w:val="22"/>
          <w:szCs w:val="22"/>
        </w:rPr>
        <w:t xml:space="preserve">Asset Finance applications grew by 14% year on year, which led to a 20% rise in Originations. Once again, we outperformed the market, achieving </w:t>
      </w:r>
      <w:r w:rsidR="009A6F0C" w:rsidRPr="00836A85">
        <w:rPr>
          <w:rFonts w:ascii="Brandon Grotesque Regular" w:hAnsi="Brandon Grotesque Regular"/>
          <w:color w:val="000000"/>
          <w:sz w:val="22"/>
          <w:szCs w:val="22"/>
        </w:rPr>
        <w:t>8.5</w:t>
      </w:r>
      <w:r w:rsidRPr="00836A85">
        <w:rPr>
          <w:rFonts w:ascii="Brandon Grotesque Regular" w:hAnsi="Brandon Grotesque Regular"/>
          <w:color w:val="000000"/>
          <w:sz w:val="22"/>
          <w:szCs w:val="22"/>
        </w:rPr>
        <w:t xml:space="preserve"> times system in the second half of 2025 compared to the first half of the year. </w:t>
      </w:r>
    </w:p>
    <w:p w14:paraId="11A59B2B" w14:textId="77777777" w:rsidR="00665436" w:rsidRPr="00836A85" w:rsidRDefault="00665436" w:rsidP="00836A85">
      <w:pPr>
        <w:spacing w:before="60" w:after="60" w:line="240" w:lineRule="auto"/>
        <w:rPr>
          <w:rFonts w:ascii="Brandon Grotesque Regular" w:hAnsi="Brandon Grotesque Regular"/>
          <w:sz w:val="22"/>
          <w:szCs w:val="22"/>
          <w:lang w:val="en-GB" w:bidi="ar-SA"/>
        </w:rPr>
      </w:pPr>
    </w:p>
    <w:p w14:paraId="2A439281" w14:textId="699DAB5E" w:rsidR="001428B2" w:rsidRPr="00836A85" w:rsidRDefault="00C25866" w:rsidP="00836A85">
      <w:pPr>
        <w:spacing w:before="60" w:after="60" w:line="240" w:lineRule="auto"/>
        <w:contextualSpacing/>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The strong finish to the year also provides us with a </w:t>
      </w:r>
      <w:r w:rsidR="001428B2" w:rsidRPr="00836A85">
        <w:rPr>
          <w:rFonts w:ascii="Brandon Grotesque Regular" w:eastAsiaTheme="minorEastAsia" w:hAnsi="Brandon Grotesque Regular" w:cstheme="minorHAnsi"/>
          <w:color w:val="000000" w:themeColor="text1"/>
          <w:sz w:val="22"/>
          <w:szCs w:val="22"/>
          <w:lang w:val="en-GB" w:bidi="ar-SA"/>
        </w:rPr>
        <w:t>positive start for 202</w:t>
      </w:r>
      <w:r w:rsidRPr="00836A85">
        <w:rPr>
          <w:rFonts w:ascii="Brandon Grotesque Regular" w:eastAsiaTheme="minorEastAsia" w:hAnsi="Brandon Grotesque Regular" w:cstheme="minorHAnsi"/>
          <w:color w:val="000000" w:themeColor="text1"/>
          <w:sz w:val="22"/>
          <w:szCs w:val="22"/>
          <w:lang w:val="en-GB" w:bidi="ar-SA"/>
        </w:rPr>
        <w:t>6.</w:t>
      </w:r>
    </w:p>
    <w:p w14:paraId="7C04B118" w14:textId="77777777" w:rsidR="00C25866" w:rsidRPr="00836A85" w:rsidRDefault="00C25866" w:rsidP="00836A85">
      <w:pPr>
        <w:spacing w:before="60" w:after="60" w:line="240" w:lineRule="auto"/>
        <w:contextualSpacing/>
        <w:rPr>
          <w:rFonts w:ascii="Brandon Grotesque Regular" w:eastAsiaTheme="minorEastAsia" w:hAnsi="Brandon Grotesque Regular" w:cstheme="minorHAnsi"/>
          <w:color w:val="000000" w:themeColor="text1"/>
          <w:sz w:val="22"/>
          <w:szCs w:val="22"/>
          <w:lang w:val="en-GB" w:bidi="ar-SA"/>
        </w:rPr>
      </w:pPr>
    </w:p>
    <w:p w14:paraId="497FDECC" w14:textId="60C43353" w:rsidR="00C25866" w:rsidRPr="00836A85" w:rsidRDefault="007406CB" w:rsidP="00836A85">
      <w:pPr>
        <w:spacing w:before="60" w:after="60" w:line="240" w:lineRule="auto"/>
        <w:rPr>
          <w:rFonts w:ascii="Brandon Grotesque Regular" w:hAnsi="Brandon Grotesque Regular"/>
          <w:sz w:val="22"/>
          <w:szCs w:val="22"/>
          <w:lang w:val="en-GB" w:bidi="ar-SA"/>
        </w:rPr>
      </w:pPr>
      <w:r w:rsidRPr="00836A85">
        <w:rPr>
          <w:rFonts w:ascii="Brandon Grotesque Regular" w:hAnsi="Brandon Grotesque Regular"/>
          <w:color w:val="000000"/>
          <w:sz w:val="22"/>
          <w:szCs w:val="22"/>
        </w:rPr>
        <w:t xml:space="preserve">Let us now review the performance of each business area, beginning with Mortgages. </w:t>
      </w:r>
    </w:p>
    <w:p w14:paraId="7E39B23D" w14:textId="77777777" w:rsidR="00C27053" w:rsidRPr="00836A85" w:rsidRDefault="00C27053" w:rsidP="00836A85">
      <w:pPr>
        <w:spacing w:before="60" w:after="60" w:line="240" w:lineRule="auto"/>
        <w:contextualSpacing/>
        <w:rPr>
          <w:rFonts w:ascii="Brandon Grotesque Regular" w:eastAsiaTheme="minorEastAsia" w:hAnsi="Brandon Grotesque Regular" w:cstheme="minorHAnsi"/>
          <w:color w:val="000000" w:themeColor="text1"/>
          <w:sz w:val="22"/>
          <w:szCs w:val="22"/>
          <w:lang w:val="en-GB" w:bidi="ar-SA"/>
        </w:rPr>
      </w:pPr>
    </w:p>
    <w:p w14:paraId="20160413" w14:textId="77777777" w:rsidR="006E62ED" w:rsidRPr="00836A85" w:rsidRDefault="006E62ED"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b/>
          <w:bCs/>
          <w:caps/>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t>slide number 6</w:t>
      </w:r>
    </w:p>
    <w:p w14:paraId="36D26E1C" w14:textId="18949750" w:rsidR="00F8323F" w:rsidRPr="00836A85" w:rsidRDefault="00196391" w:rsidP="00836A85">
      <w:pPr>
        <w:spacing w:before="60" w:after="60" w:line="240" w:lineRule="auto"/>
        <w:rPr>
          <w:rFonts w:ascii="Brandon Grotesque Regular" w:hAnsi="Brandon Grotesque Regular"/>
          <w:noProof/>
          <w:sz w:val="22"/>
          <w:szCs w:val="22"/>
        </w:rPr>
      </w:pPr>
      <w:r w:rsidRPr="00836A85">
        <w:rPr>
          <w:rFonts w:ascii="Brandon Grotesque Regular" w:hAnsi="Brandon Grotesque Regular"/>
          <w:color w:val="000000"/>
          <w:sz w:val="22"/>
          <w:szCs w:val="22"/>
        </w:rPr>
        <w:t xml:space="preserve">Our Mortgage business experienced exceptional growth throughout the year, with volume increases resulting from effective execution across multiple strategies. Initiatives such as new product launches in Australia, pricing adjustments, and expansion of credit policies implemented during the latter half of 2024 contributed significantly to this success. </w:t>
      </w:r>
    </w:p>
    <w:p w14:paraId="41D6F4F9" w14:textId="77777777" w:rsidR="00F8323F" w:rsidRPr="00836A85" w:rsidRDefault="00F8323F" w:rsidP="00836A85">
      <w:pPr>
        <w:spacing w:before="60" w:after="60" w:line="240" w:lineRule="auto"/>
        <w:rPr>
          <w:rFonts w:ascii="Brandon Grotesque Regular" w:hAnsi="Brandon Grotesque Regular" w:cstheme="minorHAnsi"/>
          <w:noProof/>
          <w:sz w:val="22"/>
          <w:szCs w:val="22"/>
        </w:rPr>
      </w:pPr>
    </w:p>
    <w:p w14:paraId="613052EF" w14:textId="298382FB" w:rsidR="00F8323F" w:rsidRPr="00836A85" w:rsidRDefault="00F8323F" w:rsidP="00836A85">
      <w:pPr>
        <w:spacing w:before="60" w:after="60" w:line="240" w:lineRule="auto"/>
        <w:rPr>
          <w:rFonts w:ascii="Brandon Grotesque Regular" w:hAnsi="Brandon Grotesque Regular"/>
          <w:color w:val="000000" w:themeColor="text1"/>
          <w:sz w:val="22"/>
          <w:szCs w:val="22"/>
        </w:rPr>
      </w:pPr>
      <w:r w:rsidRPr="00836A85">
        <w:rPr>
          <w:rFonts w:ascii="Brandon Grotesque Regular" w:hAnsi="Brandon Grotesque Regular"/>
          <w:color w:val="000000" w:themeColor="text1"/>
          <w:sz w:val="22"/>
          <w:szCs w:val="22"/>
        </w:rPr>
        <w:t xml:space="preserve">We set a new Originations </w:t>
      </w:r>
      <w:r w:rsidR="00196391" w:rsidRPr="00836A85">
        <w:rPr>
          <w:rFonts w:ascii="Brandon Grotesque Regular" w:hAnsi="Brandon Grotesque Regular"/>
          <w:color w:val="000000" w:themeColor="text1"/>
          <w:sz w:val="22"/>
          <w:szCs w:val="22"/>
        </w:rPr>
        <w:t xml:space="preserve">record </w:t>
      </w:r>
      <w:r w:rsidRPr="00836A85">
        <w:rPr>
          <w:rFonts w:ascii="Brandon Grotesque Regular" w:hAnsi="Brandon Grotesque Regular"/>
          <w:color w:val="000000" w:themeColor="text1"/>
          <w:sz w:val="22"/>
          <w:szCs w:val="22"/>
        </w:rPr>
        <w:t xml:space="preserve">in Mortgages – closing the year at $6.8 billion, up 66% on PCP. </w:t>
      </w:r>
    </w:p>
    <w:p w14:paraId="5F0EA97B" w14:textId="77777777" w:rsidR="00F8323F" w:rsidRPr="00836A85" w:rsidRDefault="00F8323F" w:rsidP="00836A85">
      <w:pPr>
        <w:spacing w:before="60" w:after="60" w:line="240" w:lineRule="auto"/>
        <w:rPr>
          <w:rFonts w:ascii="Brandon Grotesque Regular" w:hAnsi="Brandon Grotesque Regular"/>
          <w:color w:val="000000" w:themeColor="text1"/>
          <w:sz w:val="22"/>
          <w:szCs w:val="22"/>
        </w:rPr>
      </w:pPr>
    </w:p>
    <w:p w14:paraId="64D4A675" w14:textId="2404B971" w:rsidR="00F8323F" w:rsidRPr="00836A85" w:rsidRDefault="00196391"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color w:val="000000"/>
          <w:sz w:val="22"/>
          <w:szCs w:val="22"/>
        </w:rPr>
        <w:t xml:space="preserve">Prime growth, including small </w:t>
      </w:r>
      <w:r w:rsidR="00A5029D" w:rsidRPr="00836A85">
        <w:rPr>
          <w:rFonts w:ascii="Brandon Grotesque Regular" w:hAnsi="Brandon Grotesque Regular"/>
          <w:color w:val="000000"/>
          <w:sz w:val="22"/>
          <w:szCs w:val="22"/>
        </w:rPr>
        <w:t xml:space="preserve">balance </w:t>
      </w:r>
      <w:r w:rsidRPr="00836A85">
        <w:rPr>
          <w:rFonts w:ascii="Brandon Grotesque Regular" w:hAnsi="Brandon Grotesque Regular"/>
          <w:color w:val="000000"/>
          <w:sz w:val="22"/>
          <w:szCs w:val="22"/>
        </w:rPr>
        <w:t>Commercial Real Estate, reached $4.9 billion, representing a 148% increase on PCP. Overall, Prime accounted for 7</w:t>
      </w:r>
      <w:r w:rsidR="001B32AF" w:rsidRPr="00836A85">
        <w:rPr>
          <w:rFonts w:ascii="Brandon Grotesque Regular" w:hAnsi="Brandon Grotesque Regular"/>
          <w:color w:val="000000"/>
          <w:sz w:val="22"/>
          <w:szCs w:val="22"/>
        </w:rPr>
        <w:t>4</w:t>
      </w:r>
      <w:r w:rsidRPr="00836A85">
        <w:rPr>
          <w:rFonts w:ascii="Brandon Grotesque Regular" w:hAnsi="Brandon Grotesque Regular"/>
          <w:color w:val="000000"/>
          <w:sz w:val="22"/>
          <w:szCs w:val="22"/>
        </w:rPr>
        <w:t xml:space="preserve">% of </w:t>
      </w:r>
      <w:r w:rsidR="00A5029D" w:rsidRPr="00836A85">
        <w:rPr>
          <w:rFonts w:ascii="Brandon Grotesque Regular" w:hAnsi="Brandon Grotesque Regular"/>
          <w:color w:val="000000"/>
          <w:sz w:val="22"/>
          <w:szCs w:val="22"/>
        </w:rPr>
        <w:t>O</w:t>
      </w:r>
      <w:r w:rsidRPr="00836A85">
        <w:rPr>
          <w:rFonts w:ascii="Brandon Grotesque Regular" w:hAnsi="Brandon Grotesque Regular"/>
          <w:color w:val="000000"/>
          <w:sz w:val="22"/>
          <w:szCs w:val="22"/>
        </w:rPr>
        <w:t>riginations, while Non-conforming made up 27% in</w:t>
      </w:r>
      <w:r w:rsidR="007948B1" w:rsidRPr="00836A85">
        <w:rPr>
          <w:rFonts w:ascii="Brandon Grotesque Regular" w:hAnsi="Brandon Grotesque Regular"/>
          <w:color w:val="000000"/>
          <w:sz w:val="22"/>
          <w:szCs w:val="22"/>
        </w:rPr>
        <w:t xml:space="preserve"> calendar year </w:t>
      </w:r>
      <w:r w:rsidRPr="00836A85">
        <w:rPr>
          <w:rFonts w:ascii="Brandon Grotesque Regular" w:hAnsi="Brandon Grotesque Regular"/>
          <w:color w:val="000000"/>
          <w:sz w:val="22"/>
          <w:szCs w:val="22"/>
        </w:rPr>
        <w:t xml:space="preserve">2025. </w:t>
      </w:r>
    </w:p>
    <w:p w14:paraId="26BABC40" w14:textId="77777777" w:rsidR="00F8323F" w:rsidRPr="00836A85" w:rsidRDefault="00F8323F" w:rsidP="00836A85">
      <w:pPr>
        <w:spacing w:before="60" w:after="60" w:line="240" w:lineRule="auto"/>
        <w:rPr>
          <w:rFonts w:ascii="Brandon Grotesque Regular" w:hAnsi="Brandon Grotesque Regular"/>
          <w:color w:val="000000" w:themeColor="text1"/>
          <w:sz w:val="22"/>
          <w:szCs w:val="22"/>
        </w:rPr>
      </w:pPr>
    </w:p>
    <w:p w14:paraId="278D1A74" w14:textId="2F04FE41" w:rsidR="00F8323F" w:rsidRPr="00836A85" w:rsidRDefault="007546CB"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color w:val="000000"/>
          <w:sz w:val="22"/>
          <w:szCs w:val="22"/>
        </w:rPr>
        <w:t xml:space="preserve">Launched in Q4 2023, our Self-Managed Super Fund mortgage solution accounted for 7% of total </w:t>
      </w:r>
      <w:r w:rsidR="00A5029D" w:rsidRPr="00836A85">
        <w:rPr>
          <w:rFonts w:ascii="Brandon Grotesque Regular" w:hAnsi="Brandon Grotesque Regular"/>
          <w:color w:val="000000"/>
          <w:sz w:val="22"/>
          <w:szCs w:val="22"/>
        </w:rPr>
        <w:t>O</w:t>
      </w:r>
      <w:r w:rsidRPr="00836A85">
        <w:rPr>
          <w:rFonts w:ascii="Brandon Grotesque Regular" w:hAnsi="Brandon Grotesque Regular"/>
          <w:color w:val="000000"/>
          <w:sz w:val="22"/>
          <w:szCs w:val="22"/>
        </w:rPr>
        <w:t xml:space="preserve">riginations over the year and achieved 106% growth </w:t>
      </w:r>
      <w:proofErr w:type="gramStart"/>
      <w:r w:rsidRPr="00836A85">
        <w:rPr>
          <w:rFonts w:ascii="Brandon Grotesque Regular" w:hAnsi="Brandon Grotesque Regular"/>
          <w:color w:val="000000"/>
          <w:sz w:val="22"/>
          <w:szCs w:val="22"/>
        </w:rPr>
        <w:t>on</w:t>
      </w:r>
      <w:proofErr w:type="gramEnd"/>
      <w:r w:rsidRPr="00836A85">
        <w:rPr>
          <w:rFonts w:ascii="Brandon Grotesque Regular" w:hAnsi="Brandon Grotesque Regular"/>
          <w:color w:val="000000"/>
          <w:sz w:val="22"/>
          <w:szCs w:val="22"/>
        </w:rPr>
        <w:t xml:space="preserve"> 2024. </w:t>
      </w:r>
      <w:r w:rsidR="00F8323F" w:rsidRPr="00836A85">
        <w:rPr>
          <w:rFonts w:ascii="Brandon Grotesque Regular" w:hAnsi="Brandon Grotesque Regular"/>
          <w:sz w:val="22"/>
          <w:szCs w:val="22"/>
        </w:rPr>
        <w:t xml:space="preserve"> </w:t>
      </w:r>
    </w:p>
    <w:p w14:paraId="6B3CA5CF" w14:textId="77777777" w:rsidR="00F8323F" w:rsidRPr="00836A85" w:rsidRDefault="00F8323F" w:rsidP="00836A85">
      <w:pPr>
        <w:spacing w:before="60" w:after="60" w:line="240" w:lineRule="auto"/>
        <w:rPr>
          <w:rFonts w:ascii="Brandon Grotesque Regular" w:hAnsi="Brandon Grotesque Regular"/>
          <w:color w:val="000000" w:themeColor="text1"/>
          <w:sz w:val="22"/>
          <w:szCs w:val="22"/>
        </w:rPr>
      </w:pPr>
    </w:p>
    <w:p w14:paraId="10B1F5F5" w14:textId="29BDD447" w:rsidR="00F8323F" w:rsidRPr="00836A85" w:rsidRDefault="00F8323F" w:rsidP="00836A85">
      <w:pPr>
        <w:spacing w:before="60" w:after="60" w:line="240" w:lineRule="auto"/>
        <w:rPr>
          <w:rFonts w:ascii="Brandon Grotesque Regular" w:hAnsi="Brandon Grotesque Regular"/>
          <w:color w:val="000000" w:themeColor="text1"/>
          <w:sz w:val="22"/>
          <w:szCs w:val="22"/>
        </w:rPr>
      </w:pPr>
      <w:r w:rsidRPr="00836A85">
        <w:rPr>
          <w:rFonts w:ascii="Brandon Grotesque Regular" w:hAnsi="Brandon Grotesque Regular"/>
          <w:color w:val="000000" w:themeColor="text1"/>
          <w:sz w:val="22"/>
          <w:szCs w:val="22"/>
        </w:rPr>
        <w:t xml:space="preserve">Alongside new product development, we continue to review, modify and </w:t>
      </w:r>
      <w:r w:rsidR="00A5029D" w:rsidRPr="00836A85">
        <w:rPr>
          <w:rFonts w:ascii="Brandon Grotesque Regular" w:hAnsi="Brandon Grotesque Regular"/>
          <w:color w:val="000000" w:themeColor="text1"/>
          <w:sz w:val="22"/>
          <w:szCs w:val="22"/>
        </w:rPr>
        <w:t>enhance</w:t>
      </w:r>
      <w:r w:rsidRPr="00836A85">
        <w:rPr>
          <w:rFonts w:ascii="Brandon Grotesque Regular" w:hAnsi="Brandon Grotesque Regular"/>
          <w:color w:val="000000" w:themeColor="text1"/>
          <w:sz w:val="22"/>
          <w:szCs w:val="22"/>
        </w:rPr>
        <w:t xml:space="preserve"> our credit policies -  as this is a proven way to drive accretive growth.</w:t>
      </w:r>
    </w:p>
    <w:p w14:paraId="16355FF2" w14:textId="77777777" w:rsidR="00F8323F" w:rsidRPr="00836A85" w:rsidRDefault="00F8323F" w:rsidP="00836A85">
      <w:pPr>
        <w:spacing w:before="60" w:after="60" w:line="240" w:lineRule="auto"/>
        <w:contextualSpacing/>
        <w:rPr>
          <w:rFonts w:ascii="Brandon Grotesque Regular" w:hAnsi="Brandon Grotesque Regular" w:cstheme="minorHAnsi"/>
          <w:noProof/>
          <w:sz w:val="22"/>
          <w:szCs w:val="22"/>
        </w:rPr>
      </w:pPr>
    </w:p>
    <w:p w14:paraId="18AE7346" w14:textId="4A1B61F5" w:rsidR="00F8323F" w:rsidRPr="00836A85" w:rsidRDefault="00F8323F" w:rsidP="00836A85">
      <w:pPr>
        <w:tabs>
          <w:tab w:val="left" w:pos="360"/>
        </w:tabs>
        <w:spacing w:before="60" w:after="60" w:line="240" w:lineRule="auto"/>
        <w:rPr>
          <w:rFonts w:ascii="Brandon Grotesque Regular" w:hAnsi="Brandon Grotesque Regular" w:cstheme="minorHAnsi"/>
          <w:noProof/>
          <w:sz w:val="22"/>
          <w:szCs w:val="22"/>
        </w:rPr>
      </w:pPr>
      <w:r w:rsidRPr="00836A85">
        <w:rPr>
          <w:rFonts w:ascii="Brandon Grotesque Regular" w:hAnsi="Brandon Grotesque Regular" w:cstheme="minorHAnsi"/>
          <w:noProof/>
          <w:sz w:val="22"/>
          <w:szCs w:val="22"/>
        </w:rPr>
        <w:t>Over 2025 we completed six Mortgage Whole Loan Sales – five Prime and one Non</w:t>
      </w:r>
      <w:r w:rsidR="007948B1" w:rsidRPr="00836A85">
        <w:rPr>
          <w:rFonts w:ascii="Brandon Grotesque Regular" w:hAnsi="Brandon Grotesque Regular" w:cstheme="minorHAnsi"/>
          <w:noProof/>
          <w:sz w:val="22"/>
          <w:szCs w:val="22"/>
        </w:rPr>
        <w:t>-c</w:t>
      </w:r>
      <w:r w:rsidRPr="00836A85">
        <w:rPr>
          <w:rFonts w:ascii="Brandon Grotesque Regular" w:hAnsi="Brandon Grotesque Regular" w:cstheme="minorHAnsi"/>
          <w:noProof/>
          <w:sz w:val="22"/>
          <w:szCs w:val="22"/>
        </w:rPr>
        <w:t xml:space="preserve">onforming, totalling $3 billion.  </w:t>
      </w:r>
      <w:r w:rsidRPr="00836A85">
        <w:rPr>
          <w:rFonts w:ascii="Brandon Grotesque Regular" w:eastAsiaTheme="minorEastAsia" w:hAnsi="Brandon Grotesque Regular" w:cstheme="minorHAnsi"/>
          <w:color w:val="000000" w:themeColor="text1"/>
          <w:sz w:val="22"/>
          <w:szCs w:val="22"/>
          <w:lang w:val="en-GB" w:bidi="ar-SA"/>
        </w:rPr>
        <w:t xml:space="preserve">Whole Loan Sales see the equitable notes in loans sold to a third party, with Pepper Money retaining the </w:t>
      </w:r>
      <w:r w:rsidRPr="00836A85">
        <w:rPr>
          <w:rFonts w:ascii="Brandon Grotesque Regular" w:eastAsiaTheme="minorEastAsia" w:hAnsi="Brandon Grotesque Regular" w:cstheme="minorHAnsi"/>
          <w:color w:val="000000" w:themeColor="text1"/>
          <w:sz w:val="22"/>
          <w:szCs w:val="22"/>
          <w:lang w:val="en-GB" w:bidi="ar-SA"/>
        </w:rPr>
        <w:lastRenderedPageBreak/>
        <w:t>servicing of the loans. AUM therefore transfers from Lending to Servicing.  As Pepper Money continues to service these loans, we benefit from the generation of a capital light annuity-style income.</w:t>
      </w:r>
    </w:p>
    <w:p w14:paraId="77890C48" w14:textId="77777777" w:rsidR="00F8323F" w:rsidRPr="00836A85" w:rsidRDefault="00F8323F" w:rsidP="00836A85">
      <w:pPr>
        <w:pStyle w:val="ListParagraph"/>
        <w:spacing w:before="60" w:after="60" w:line="240" w:lineRule="auto"/>
        <w:rPr>
          <w:rFonts w:ascii="Brandon Grotesque Regular" w:hAnsi="Brandon Grotesque Regular" w:cstheme="minorHAnsi"/>
          <w:noProof/>
          <w:sz w:val="22"/>
          <w:szCs w:val="22"/>
        </w:rPr>
      </w:pPr>
    </w:p>
    <w:p w14:paraId="5FA92DC6" w14:textId="728573B1" w:rsidR="00F8323F" w:rsidRPr="00836A85" w:rsidRDefault="001B38BD" w:rsidP="00836A85">
      <w:pPr>
        <w:tabs>
          <w:tab w:val="left" w:pos="360"/>
        </w:tabs>
        <w:spacing w:before="60" w:after="60" w:line="240" w:lineRule="auto"/>
        <w:rPr>
          <w:rFonts w:ascii="Brandon Grotesque Regular" w:hAnsi="Brandon Grotesque Regular" w:cstheme="minorHAnsi"/>
          <w:noProof/>
          <w:sz w:val="22"/>
          <w:szCs w:val="22"/>
        </w:rPr>
      </w:pPr>
      <w:r w:rsidRPr="00836A85">
        <w:rPr>
          <w:rFonts w:ascii="Brandon Grotesque Regular" w:hAnsi="Brandon Grotesque Regular" w:cstheme="minorHAnsi"/>
          <w:noProof/>
          <w:sz w:val="22"/>
          <w:szCs w:val="22"/>
        </w:rPr>
        <w:t xml:space="preserve">Net of Whole Loan Sales, </w:t>
      </w:r>
      <w:r w:rsidR="00F8323F" w:rsidRPr="00836A85">
        <w:rPr>
          <w:rFonts w:ascii="Brandon Grotesque Regular" w:hAnsi="Brandon Grotesque Regular" w:cstheme="minorHAnsi"/>
          <w:noProof/>
          <w:sz w:val="22"/>
          <w:szCs w:val="22"/>
        </w:rPr>
        <w:t xml:space="preserve">Mortgage Lending AUM closed the year </w:t>
      </w:r>
      <w:r w:rsidRPr="00836A85">
        <w:rPr>
          <w:rFonts w:ascii="Brandon Grotesque Regular" w:hAnsi="Brandon Grotesque Regular" w:cstheme="minorHAnsi"/>
          <w:noProof/>
          <w:sz w:val="22"/>
          <w:szCs w:val="22"/>
        </w:rPr>
        <w:t>in line with December 2024 at $10.2</w:t>
      </w:r>
      <w:r w:rsidR="00F8323F" w:rsidRPr="00836A85">
        <w:rPr>
          <w:rFonts w:ascii="Brandon Grotesque Regular" w:hAnsi="Brandon Grotesque Regular" w:cstheme="minorHAnsi"/>
          <w:noProof/>
          <w:sz w:val="22"/>
          <w:szCs w:val="22"/>
        </w:rPr>
        <w:t xml:space="preserve"> billion</w:t>
      </w:r>
      <w:r w:rsidRPr="00836A85">
        <w:rPr>
          <w:rFonts w:ascii="Brandon Grotesque Regular" w:hAnsi="Brandon Grotesque Regular" w:cstheme="minorHAnsi"/>
          <w:noProof/>
          <w:sz w:val="22"/>
          <w:szCs w:val="22"/>
        </w:rPr>
        <w:t>, and was up 8% on the half year, reflecting the strong growth in Originations.</w:t>
      </w:r>
      <w:r w:rsidR="00F8323F" w:rsidRPr="00836A85">
        <w:rPr>
          <w:rFonts w:ascii="Brandon Grotesque Regular" w:hAnsi="Brandon Grotesque Regular" w:cstheme="minorHAnsi"/>
          <w:noProof/>
          <w:sz w:val="22"/>
          <w:szCs w:val="22"/>
        </w:rPr>
        <w:t xml:space="preserve">  </w:t>
      </w:r>
    </w:p>
    <w:p w14:paraId="524BE1D9" w14:textId="77777777" w:rsidR="00830A9E" w:rsidRPr="00836A85" w:rsidRDefault="007546CB" w:rsidP="00836A85">
      <w:pPr>
        <w:spacing w:before="60" w:after="60" w:line="240" w:lineRule="auto"/>
        <w:rPr>
          <w:rFonts w:ascii="Brandon Grotesque Regular" w:hAnsi="Brandon Grotesque Regular"/>
          <w:color w:val="000000"/>
          <w:sz w:val="22"/>
          <w:szCs w:val="22"/>
        </w:rPr>
      </w:pPr>
      <w:r w:rsidRPr="00836A85">
        <w:rPr>
          <w:rFonts w:ascii="Brandon Grotesque Regular" w:hAnsi="Brandon Grotesque Regular"/>
          <w:color w:val="000000"/>
          <w:sz w:val="22"/>
          <w:szCs w:val="22"/>
        </w:rPr>
        <w:t xml:space="preserve">For the full year, Mortgage NIM stood at 1.54%, representing a decrease of 12 basis points compared to PCP. This outcome was driven by a product mix weighted towards Prime and an increase in Whole Loan Sales completed during the year. </w:t>
      </w:r>
    </w:p>
    <w:p w14:paraId="1BD96891" w14:textId="77777777" w:rsidR="001B203C" w:rsidRPr="00836A85" w:rsidRDefault="001B203C" w:rsidP="00836A85">
      <w:pPr>
        <w:spacing w:before="60" w:after="60" w:line="240" w:lineRule="auto"/>
        <w:rPr>
          <w:rFonts w:ascii="Brandon Grotesque Regular" w:hAnsi="Brandon Grotesque Regular"/>
          <w:color w:val="000000"/>
          <w:sz w:val="22"/>
          <w:szCs w:val="22"/>
        </w:rPr>
      </w:pPr>
    </w:p>
    <w:p w14:paraId="65D2CB1C" w14:textId="19362CEC" w:rsidR="001B38BD" w:rsidRPr="00836A85" w:rsidRDefault="007546CB" w:rsidP="00836A85">
      <w:pPr>
        <w:spacing w:before="60" w:after="60" w:line="240" w:lineRule="auto"/>
        <w:rPr>
          <w:rFonts w:ascii="Brandon Grotesque Regular" w:hAnsi="Brandon Grotesque Regular"/>
          <w:noProof/>
          <w:sz w:val="22"/>
          <w:szCs w:val="22"/>
        </w:rPr>
      </w:pPr>
      <w:r w:rsidRPr="00836A85">
        <w:rPr>
          <w:rFonts w:ascii="Brandon Grotesque Regular" w:hAnsi="Brandon Grotesque Regular"/>
          <w:color w:val="000000"/>
          <w:sz w:val="22"/>
          <w:szCs w:val="22"/>
        </w:rPr>
        <w:t xml:space="preserve">In the second half of the year, Mortgage NIM reached 1.58%, marking a </w:t>
      </w:r>
      <w:proofErr w:type="gramStart"/>
      <w:r w:rsidRPr="00836A85">
        <w:rPr>
          <w:rFonts w:ascii="Brandon Grotesque Regular" w:hAnsi="Brandon Grotesque Regular"/>
          <w:color w:val="000000"/>
          <w:sz w:val="22"/>
          <w:szCs w:val="22"/>
        </w:rPr>
        <w:t>7</w:t>
      </w:r>
      <w:r w:rsidR="007948B1" w:rsidRPr="00836A85">
        <w:rPr>
          <w:rFonts w:ascii="Brandon Grotesque Regular" w:hAnsi="Brandon Grotesque Regular"/>
          <w:color w:val="000000"/>
          <w:sz w:val="22"/>
          <w:szCs w:val="22"/>
        </w:rPr>
        <w:t xml:space="preserve"> basis</w:t>
      </w:r>
      <w:proofErr w:type="gramEnd"/>
      <w:r w:rsidR="007948B1" w:rsidRPr="00836A85">
        <w:rPr>
          <w:rFonts w:ascii="Brandon Grotesque Regular" w:hAnsi="Brandon Grotesque Regular"/>
          <w:color w:val="000000"/>
          <w:sz w:val="22"/>
          <w:szCs w:val="22"/>
        </w:rPr>
        <w:t xml:space="preserve"> points</w:t>
      </w:r>
      <w:r w:rsidRPr="00836A85">
        <w:rPr>
          <w:rFonts w:ascii="Brandon Grotesque Regular" w:hAnsi="Brandon Grotesque Regular"/>
          <w:color w:val="000000"/>
          <w:sz w:val="22"/>
          <w:szCs w:val="22"/>
        </w:rPr>
        <w:t xml:space="preserve"> improvement over the first half of 2025. This increase was driven by enhanced funding margins as well as a reduction in Whole Loan Sales on a half-on-half basis. </w:t>
      </w:r>
      <w:r w:rsidR="00F8323F" w:rsidRPr="00836A85">
        <w:rPr>
          <w:rFonts w:ascii="Brandon Grotesque Regular" w:hAnsi="Brandon Grotesque Regular"/>
          <w:noProof/>
          <w:sz w:val="22"/>
          <w:szCs w:val="22"/>
        </w:rPr>
        <w:t xml:space="preserve"> </w:t>
      </w:r>
    </w:p>
    <w:p w14:paraId="0D4BC659" w14:textId="77777777" w:rsidR="001B203C" w:rsidRPr="00836A85" w:rsidRDefault="001B203C" w:rsidP="00836A85">
      <w:pPr>
        <w:spacing w:before="60" w:after="60" w:line="240" w:lineRule="auto"/>
        <w:rPr>
          <w:rFonts w:ascii="Brandon Grotesque Regular" w:hAnsi="Brandon Grotesque Regular" w:cstheme="minorHAnsi"/>
          <w:noProof/>
          <w:sz w:val="22"/>
          <w:szCs w:val="22"/>
        </w:rPr>
      </w:pPr>
    </w:p>
    <w:p w14:paraId="61A9E329" w14:textId="3FE13694" w:rsidR="006E62ED" w:rsidRPr="00836A85" w:rsidRDefault="001B38BD" w:rsidP="00836A85">
      <w:pPr>
        <w:spacing w:before="60" w:after="60" w:line="240" w:lineRule="auto"/>
        <w:rPr>
          <w:rFonts w:ascii="Brandon Grotesque Regular" w:hAnsi="Brandon Grotesque Regular"/>
          <w:noProof/>
          <w:sz w:val="22"/>
          <w:szCs w:val="22"/>
        </w:rPr>
      </w:pPr>
      <w:r w:rsidRPr="00836A85">
        <w:rPr>
          <w:rFonts w:ascii="Brandon Grotesque Regular" w:hAnsi="Brandon Grotesque Regular" w:cstheme="minorHAnsi"/>
          <w:noProof/>
          <w:sz w:val="22"/>
          <w:szCs w:val="22"/>
        </w:rPr>
        <w:t>As Therese will cover the</w:t>
      </w:r>
      <w:r w:rsidR="00F8323F" w:rsidRPr="00836A85">
        <w:rPr>
          <w:rFonts w:ascii="Brandon Grotesque Regular" w:hAnsi="Brandon Grotesque Regular" w:cstheme="minorHAnsi"/>
          <w:noProof/>
          <w:sz w:val="22"/>
          <w:szCs w:val="22"/>
        </w:rPr>
        <w:t xml:space="preserve"> Mortgage NIM walk and credit performance </w:t>
      </w:r>
      <w:r w:rsidRPr="00836A85">
        <w:rPr>
          <w:rFonts w:ascii="Brandon Grotesque Regular" w:hAnsi="Brandon Grotesque Regular" w:cstheme="minorHAnsi"/>
          <w:noProof/>
          <w:sz w:val="22"/>
          <w:szCs w:val="22"/>
        </w:rPr>
        <w:t>in detail in</w:t>
      </w:r>
      <w:r w:rsidR="00F8323F" w:rsidRPr="00836A85">
        <w:rPr>
          <w:rFonts w:ascii="Brandon Grotesque Regular" w:hAnsi="Brandon Grotesque Regular" w:cstheme="minorHAnsi"/>
          <w:noProof/>
          <w:sz w:val="22"/>
          <w:szCs w:val="22"/>
        </w:rPr>
        <w:t xml:space="preserve"> the </w:t>
      </w:r>
      <w:r w:rsidR="007948B1" w:rsidRPr="00836A85">
        <w:rPr>
          <w:rFonts w:ascii="Brandon Grotesque Regular" w:hAnsi="Brandon Grotesque Regular" w:cstheme="minorHAnsi"/>
          <w:noProof/>
          <w:sz w:val="22"/>
          <w:szCs w:val="22"/>
        </w:rPr>
        <w:t>f</w:t>
      </w:r>
      <w:r w:rsidR="00F8323F" w:rsidRPr="00836A85">
        <w:rPr>
          <w:rFonts w:ascii="Brandon Grotesque Regular" w:hAnsi="Brandon Grotesque Regular" w:cstheme="minorHAnsi"/>
          <w:noProof/>
          <w:sz w:val="22"/>
          <w:szCs w:val="22"/>
        </w:rPr>
        <w:t>inancials</w:t>
      </w:r>
      <w:r w:rsidRPr="00836A85">
        <w:rPr>
          <w:rFonts w:ascii="Brandon Grotesque Regular" w:hAnsi="Brandon Grotesque Regular" w:cstheme="minorHAnsi"/>
          <w:noProof/>
          <w:sz w:val="22"/>
          <w:szCs w:val="22"/>
        </w:rPr>
        <w:t xml:space="preserve">, I will turn now to our Asset Finance business. </w:t>
      </w:r>
      <w:r w:rsidR="00F8323F" w:rsidRPr="00836A85">
        <w:rPr>
          <w:rFonts w:ascii="Brandon Grotesque Regular" w:hAnsi="Brandon Grotesque Regular" w:cstheme="minorHAnsi"/>
          <w:noProof/>
          <w:sz w:val="22"/>
          <w:szCs w:val="22"/>
        </w:rPr>
        <w:t xml:space="preserve"> </w:t>
      </w:r>
    </w:p>
    <w:p w14:paraId="417363B4" w14:textId="77777777" w:rsidR="00836A85" w:rsidRPr="00836A85" w:rsidRDefault="00836A85" w:rsidP="00836A85">
      <w:pPr>
        <w:spacing w:before="60" w:after="60" w:line="240" w:lineRule="auto"/>
        <w:contextualSpacing/>
        <w:jc w:val="center"/>
        <w:rPr>
          <w:rFonts w:ascii="Brandon Grotesque Regular" w:hAnsi="Brandon Grotesque Regular"/>
          <w:noProof/>
          <w:sz w:val="22"/>
          <w:szCs w:val="22"/>
        </w:rPr>
      </w:pPr>
    </w:p>
    <w:p w14:paraId="5CE5D192" w14:textId="32478181" w:rsidR="006E62ED" w:rsidRPr="00836A85" w:rsidRDefault="006E62ED"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b/>
          <w:bCs/>
          <w:caps/>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t xml:space="preserve">slide number </w:t>
      </w:r>
      <w:r w:rsidR="00C27053" w:rsidRPr="00836A85">
        <w:rPr>
          <w:rFonts w:ascii="Brandon Grotesque Regular" w:eastAsiaTheme="minorEastAsia" w:hAnsi="Brandon Grotesque Regular"/>
          <w:b/>
          <w:bCs/>
          <w:caps/>
          <w:color w:val="002060"/>
          <w:spacing w:val="80"/>
          <w:sz w:val="22"/>
          <w:szCs w:val="22"/>
          <w:lang w:val="en-GB" w:bidi="ar-SA"/>
        </w:rPr>
        <w:t>7</w:t>
      </w:r>
    </w:p>
    <w:p w14:paraId="388A8FEA" w14:textId="402A1BED" w:rsidR="00784EC4" w:rsidRPr="00836A85" w:rsidRDefault="0013798B" w:rsidP="00836A85">
      <w:pPr>
        <w:spacing w:before="60" w:after="60" w:line="240" w:lineRule="auto"/>
        <w:rPr>
          <w:rFonts w:ascii="Brandon Grotesque Regular" w:hAnsi="Brandon Grotesque Regular" w:cstheme="minorHAnsi"/>
          <w:noProof/>
          <w:sz w:val="22"/>
          <w:szCs w:val="22"/>
        </w:rPr>
      </w:pPr>
      <w:r w:rsidRPr="00836A85">
        <w:rPr>
          <w:rFonts w:ascii="Brandon Grotesque Regular" w:hAnsi="Brandon Grotesque Regular" w:cstheme="minorHAnsi"/>
          <w:noProof/>
          <w:sz w:val="22"/>
          <w:szCs w:val="22"/>
        </w:rPr>
        <w:t xml:space="preserve">Like Mortgages,  Asset Finance  </w:t>
      </w:r>
      <w:r w:rsidR="00784EC4" w:rsidRPr="00836A85">
        <w:rPr>
          <w:rFonts w:ascii="Brandon Grotesque Regular" w:hAnsi="Brandon Grotesque Regular" w:cstheme="minorHAnsi"/>
          <w:noProof/>
          <w:sz w:val="22"/>
          <w:szCs w:val="22"/>
        </w:rPr>
        <w:t>delivered a strong performance over 2025.</w:t>
      </w:r>
    </w:p>
    <w:p w14:paraId="793E848B" w14:textId="77777777" w:rsidR="00784EC4" w:rsidRPr="00836A85" w:rsidRDefault="00784EC4" w:rsidP="00836A85">
      <w:pPr>
        <w:spacing w:before="60" w:after="60" w:line="240" w:lineRule="auto"/>
        <w:rPr>
          <w:rFonts w:ascii="Brandon Grotesque Regular" w:hAnsi="Brandon Grotesque Regular" w:cstheme="minorHAnsi"/>
          <w:noProof/>
          <w:sz w:val="22"/>
          <w:szCs w:val="22"/>
        </w:rPr>
      </w:pPr>
    </w:p>
    <w:p w14:paraId="1DA89BB5" w14:textId="64E1968B" w:rsidR="0013798B" w:rsidRPr="00836A85" w:rsidRDefault="0013798B" w:rsidP="00836A85">
      <w:pPr>
        <w:spacing w:before="60" w:after="60" w:line="240" w:lineRule="auto"/>
        <w:rPr>
          <w:rFonts w:ascii="Brandon Grotesque Regular" w:hAnsi="Brandon Grotesque Regular"/>
          <w:color w:val="000000" w:themeColor="text1"/>
          <w:sz w:val="22"/>
          <w:szCs w:val="22"/>
        </w:rPr>
      </w:pPr>
      <w:r w:rsidRPr="00836A85">
        <w:rPr>
          <w:rFonts w:ascii="Brandon Grotesque Regular" w:hAnsi="Brandon Grotesque Regular"/>
          <w:color w:val="000000" w:themeColor="text1"/>
          <w:sz w:val="22"/>
          <w:szCs w:val="22"/>
        </w:rPr>
        <w:t>Originations gr</w:t>
      </w:r>
      <w:r w:rsidR="00784EC4" w:rsidRPr="00836A85">
        <w:rPr>
          <w:rFonts w:ascii="Brandon Grotesque Regular" w:hAnsi="Brandon Grotesque Regular"/>
          <w:color w:val="000000" w:themeColor="text1"/>
          <w:sz w:val="22"/>
          <w:szCs w:val="22"/>
        </w:rPr>
        <w:t xml:space="preserve">ew by </w:t>
      </w:r>
      <w:r w:rsidRPr="00836A85">
        <w:rPr>
          <w:rFonts w:ascii="Brandon Grotesque Regular" w:hAnsi="Brandon Grotesque Regular"/>
          <w:color w:val="000000" w:themeColor="text1"/>
          <w:sz w:val="22"/>
          <w:szCs w:val="22"/>
        </w:rPr>
        <w:t xml:space="preserve"> 20% year on year</w:t>
      </w:r>
      <w:r w:rsidR="00784EC4" w:rsidRPr="00836A85">
        <w:rPr>
          <w:rFonts w:ascii="Brandon Grotesque Regular" w:hAnsi="Brandon Grotesque Regular"/>
          <w:color w:val="000000" w:themeColor="text1"/>
          <w:sz w:val="22"/>
          <w:szCs w:val="22"/>
        </w:rPr>
        <w:t xml:space="preserve"> to close at $3.5 billion – setting a record for the business </w:t>
      </w:r>
      <w:r w:rsidRPr="00836A85">
        <w:rPr>
          <w:rFonts w:ascii="Brandon Grotesque Regular" w:hAnsi="Brandon Grotesque Regular"/>
          <w:color w:val="000000" w:themeColor="text1"/>
          <w:sz w:val="22"/>
          <w:szCs w:val="22"/>
        </w:rPr>
        <w:t>.</w:t>
      </w:r>
    </w:p>
    <w:p w14:paraId="686A4166" w14:textId="77777777" w:rsidR="0013798B" w:rsidRPr="00836A85" w:rsidRDefault="0013798B" w:rsidP="00836A85">
      <w:pPr>
        <w:spacing w:before="60" w:after="60" w:line="240" w:lineRule="auto"/>
        <w:rPr>
          <w:rFonts w:ascii="Brandon Grotesque Regular" w:hAnsi="Brandon Grotesque Regular"/>
          <w:color w:val="000000" w:themeColor="text1"/>
          <w:sz w:val="22"/>
          <w:szCs w:val="22"/>
        </w:rPr>
      </w:pPr>
    </w:p>
    <w:p w14:paraId="0681FDD2" w14:textId="11F75376" w:rsidR="0013798B" w:rsidRPr="00836A85" w:rsidRDefault="007546CB"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color w:val="000000"/>
          <w:sz w:val="22"/>
          <w:szCs w:val="22"/>
        </w:rPr>
        <w:t xml:space="preserve">Novated Lease made up 47% of segment </w:t>
      </w:r>
      <w:r w:rsidR="00A5029D" w:rsidRPr="00836A85">
        <w:rPr>
          <w:rFonts w:ascii="Brandon Grotesque Regular" w:hAnsi="Brandon Grotesque Regular"/>
          <w:color w:val="000000"/>
          <w:sz w:val="22"/>
          <w:szCs w:val="22"/>
        </w:rPr>
        <w:t>O</w:t>
      </w:r>
      <w:r w:rsidRPr="00836A85">
        <w:rPr>
          <w:rFonts w:ascii="Brandon Grotesque Regular" w:hAnsi="Brandon Grotesque Regular"/>
          <w:color w:val="000000"/>
          <w:sz w:val="22"/>
          <w:szCs w:val="22"/>
        </w:rPr>
        <w:t xml:space="preserve">riginations, while Commercial and Consumer contributions were 26% and 27%, respectively. Tier </w:t>
      </w:r>
      <w:proofErr w:type="spellStart"/>
      <w:r w:rsidRPr="00836A85">
        <w:rPr>
          <w:rFonts w:ascii="Brandon Grotesque Regular" w:hAnsi="Brandon Grotesque Regular"/>
          <w:color w:val="000000"/>
          <w:sz w:val="22"/>
          <w:szCs w:val="22"/>
        </w:rPr>
        <w:t>A</w:t>
      </w:r>
      <w:proofErr w:type="spellEnd"/>
      <w:r w:rsidRPr="00836A85">
        <w:rPr>
          <w:rFonts w:ascii="Brandon Grotesque Regular" w:hAnsi="Brandon Grotesque Regular"/>
          <w:color w:val="000000"/>
          <w:sz w:val="22"/>
          <w:szCs w:val="22"/>
        </w:rPr>
        <w:t xml:space="preserve"> experienced the strongest growth, representing 74% of Asset Finance Originations in 2025. Tier B accounted for 23%, and Tier C at 3%. </w:t>
      </w:r>
    </w:p>
    <w:p w14:paraId="61A3DB86" w14:textId="77777777" w:rsidR="0013798B" w:rsidRPr="00836A85" w:rsidRDefault="0013798B" w:rsidP="00836A85">
      <w:pPr>
        <w:spacing w:before="60" w:after="60" w:line="240" w:lineRule="auto"/>
        <w:rPr>
          <w:rFonts w:ascii="Brandon Grotesque Regular" w:hAnsi="Brandon Grotesque Regular"/>
          <w:color w:val="000000" w:themeColor="text1"/>
          <w:sz w:val="22"/>
          <w:szCs w:val="22"/>
        </w:rPr>
      </w:pPr>
    </w:p>
    <w:p w14:paraId="5E07B2B4" w14:textId="0F913457" w:rsidR="0013798B" w:rsidRPr="00836A85" w:rsidRDefault="00784EC4" w:rsidP="00836A85">
      <w:pPr>
        <w:spacing w:before="60" w:after="60" w:line="240" w:lineRule="auto"/>
        <w:rPr>
          <w:rFonts w:ascii="Brandon Grotesque Regular" w:hAnsi="Brandon Grotesque Regular"/>
          <w:color w:val="000000" w:themeColor="text1"/>
          <w:sz w:val="22"/>
          <w:szCs w:val="22"/>
        </w:rPr>
      </w:pPr>
      <w:r w:rsidRPr="00836A85">
        <w:rPr>
          <w:rFonts w:ascii="Brandon Grotesque Regular" w:hAnsi="Brandon Grotesque Regular"/>
          <w:color w:val="000000" w:themeColor="text1"/>
          <w:sz w:val="22"/>
          <w:szCs w:val="22"/>
        </w:rPr>
        <w:t xml:space="preserve">Net of one Whole Loan Sale for $500 million, which we completed in November 2025, </w:t>
      </w:r>
      <w:r w:rsidR="0013798B" w:rsidRPr="00836A85">
        <w:rPr>
          <w:rFonts w:ascii="Brandon Grotesque Regular" w:hAnsi="Brandon Grotesque Regular"/>
          <w:color w:val="000000" w:themeColor="text1"/>
          <w:sz w:val="22"/>
          <w:szCs w:val="22"/>
        </w:rPr>
        <w:t>Asset Finance AUM grew by $</w:t>
      </w:r>
      <w:r w:rsidRPr="00836A85">
        <w:rPr>
          <w:rFonts w:ascii="Brandon Grotesque Regular" w:hAnsi="Brandon Grotesque Regular"/>
          <w:color w:val="000000" w:themeColor="text1"/>
          <w:sz w:val="22"/>
          <w:szCs w:val="22"/>
        </w:rPr>
        <w:t>8</w:t>
      </w:r>
      <w:r w:rsidR="0013798B" w:rsidRPr="00836A85">
        <w:rPr>
          <w:rFonts w:ascii="Brandon Grotesque Regular" w:hAnsi="Brandon Grotesque Regular"/>
          <w:color w:val="000000" w:themeColor="text1"/>
          <w:sz w:val="22"/>
          <w:szCs w:val="22"/>
        </w:rPr>
        <w:t xml:space="preserve">00 million on PCP to close </w:t>
      </w:r>
      <w:r w:rsidRPr="00836A85">
        <w:rPr>
          <w:rFonts w:ascii="Brandon Grotesque Regular" w:hAnsi="Brandon Grotesque Regular"/>
          <w:color w:val="000000" w:themeColor="text1"/>
          <w:sz w:val="22"/>
          <w:szCs w:val="22"/>
        </w:rPr>
        <w:t>December 2025</w:t>
      </w:r>
      <w:r w:rsidR="0013798B" w:rsidRPr="00836A85">
        <w:rPr>
          <w:rFonts w:ascii="Brandon Grotesque Regular" w:hAnsi="Brandon Grotesque Regular"/>
          <w:color w:val="000000" w:themeColor="text1"/>
          <w:sz w:val="22"/>
          <w:szCs w:val="22"/>
        </w:rPr>
        <w:t xml:space="preserve"> at $6.</w:t>
      </w:r>
      <w:r w:rsidRPr="00836A85">
        <w:rPr>
          <w:rFonts w:ascii="Brandon Grotesque Regular" w:hAnsi="Brandon Grotesque Regular"/>
          <w:color w:val="000000" w:themeColor="text1"/>
          <w:sz w:val="22"/>
          <w:szCs w:val="22"/>
        </w:rPr>
        <w:t>5</w:t>
      </w:r>
      <w:r w:rsidR="0013798B" w:rsidRPr="00836A85">
        <w:rPr>
          <w:rFonts w:ascii="Brandon Grotesque Regular" w:hAnsi="Brandon Grotesque Regular"/>
          <w:color w:val="000000" w:themeColor="text1"/>
          <w:sz w:val="22"/>
          <w:szCs w:val="22"/>
        </w:rPr>
        <w:t xml:space="preserve"> billion. Novated Lease accounted for 3</w:t>
      </w:r>
      <w:r w:rsidRPr="00836A85">
        <w:rPr>
          <w:rFonts w:ascii="Brandon Grotesque Regular" w:hAnsi="Brandon Grotesque Regular"/>
          <w:color w:val="000000" w:themeColor="text1"/>
          <w:sz w:val="22"/>
          <w:szCs w:val="22"/>
        </w:rPr>
        <w:t>7</w:t>
      </w:r>
      <w:r w:rsidR="0013798B" w:rsidRPr="00836A85">
        <w:rPr>
          <w:rFonts w:ascii="Brandon Grotesque Regular" w:hAnsi="Brandon Grotesque Regular"/>
          <w:color w:val="000000" w:themeColor="text1"/>
          <w:sz w:val="22"/>
          <w:szCs w:val="22"/>
        </w:rPr>
        <w:t xml:space="preserve">% of closing AUM, up from </w:t>
      </w:r>
      <w:r w:rsidRPr="00836A85">
        <w:rPr>
          <w:rFonts w:ascii="Brandon Grotesque Regular" w:hAnsi="Brandon Grotesque Regular"/>
          <w:color w:val="000000" w:themeColor="text1"/>
          <w:sz w:val="22"/>
          <w:szCs w:val="22"/>
        </w:rPr>
        <w:t>34</w:t>
      </w:r>
      <w:r w:rsidR="0013798B" w:rsidRPr="00836A85">
        <w:rPr>
          <w:rFonts w:ascii="Brandon Grotesque Regular" w:hAnsi="Brandon Grotesque Regular"/>
          <w:color w:val="000000" w:themeColor="text1"/>
          <w:sz w:val="22"/>
          <w:szCs w:val="22"/>
        </w:rPr>
        <w:t xml:space="preserve">% </w:t>
      </w:r>
      <w:r w:rsidR="009A6F0C" w:rsidRPr="00836A85">
        <w:rPr>
          <w:rFonts w:ascii="Brandon Grotesque Regular" w:hAnsi="Brandon Grotesque Regular"/>
          <w:color w:val="000000" w:themeColor="text1"/>
          <w:sz w:val="22"/>
          <w:szCs w:val="22"/>
        </w:rPr>
        <w:t xml:space="preserve">on </w:t>
      </w:r>
      <w:r w:rsidR="0013798B" w:rsidRPr="00836A85">
        <w:rPr>
          <w:rFonts w:ascii="Brandon Grotesque Regular" w:hAnsi="Brandon Grotesque Regular"/>
          <w:color w:val="000000" w:themeColor="text1"/>
          <w:sz w:val="22"/>
          <w:szCs w:val="22"/>
        </w:rPr>
        <w:t xml:space="preserve">PCP, with </w:t>
      </w:r>
      <w:r w:rsidR="001408A5" w:rsidRPr="00836A85">
        <w:rPr>
          <w:rFonts w:ascii="Brandon Grotesque Regular" w:hAnsi="Brandon Grotesque Regular"/>
          <w:color w:val="000000" w:themeColor="text1"/>
          <w:sz w:val="22"/>
          <w:szCs w:val="22"/>
        </w:rPr>
        <w:t xml:space="preserve">Commercial accounting for 33% and </w:t>
      </w:r>
      <w:r w:rsidR="0013798B" w:rsidRPr="00836A85">
        <w:rPr>
          <w:rFonts w:ascii="Brandon Grotesque Regular" w:hAnsi="Brandon Grotesque Regular"/>
          <w:color w:val="000000" w:themeColor="text1"/>
          <w:sz w:val="22"/>
          <w:szCs w:val="22"/>
        </w:rPr>
        <w:t>Consumer for 3</w:t>
      </w:r>
      <w:r w:rsidR="001408A5" w:rsidRPr="00836A85">
        <w:rPr>
          <w:rFonts w:ascii="Brandon Grotesque Regular" w:hAnsi="Brandon Grotesque Regular"/>
          <w:color w:val="000000" w:themeColor="text1"/>
          <w:sz w:val="22"/>
          <w:szCs w:val="22"/>
        </w:rPr>
        <w:t>0</w:t>
      </w:r>
      <w:r w:rsidR="0013798B" w:rsidRPr="00836A85">
        <w:rPr>
          <w:rFonts w:ascii="Brandon Grotesque Regular" w:hAnsi="Brandon Grotesque Regular"/>
          <w:color w:val="000000" w:themeColor="text1"/>
          <w:sz w:val="22"/>
          <w:szCs w:val="22"/>
        </w:rPr>
        <w:t>%</w:t>
      </w:r>
      <w:r w:rsidR="001408A5" w:rsidRPr="00836A85">
        <w:rPr>
          <w:rFonts w:ascii="Brandon Grotesque Regular" w:hAnsi="Brandon Grotesque Regular"/>
          <w:color w:val="000000" w:themeColor="text1"/>
          <w:sz w:val="22"/>
          <w:szCs w:val="22"/>
        </w:rPr>
        <w:t>.</w:t>
      </w:r>
      <w:r w:rsidR="0013798B" w:rsidRPr="00836A85">
        <w:rPr>
          <w:rFonts w:ascii="Brandon Grotesque Regular" w:hAnsi="Brandon Grotesque Regular"/>
          <w:color w:val="000000" w:themeColor="text1"/>
          <w:sz w:val="22"/>
          <w:szCs w:val="22"/>
        </w:rPr>
        <w:t xml:space="preserve"> </w:t>
      </w:r>
    </w:p>
    <w:p w14:paraId="685F9042" w14:textId="77777777" w:rsidR="0013798B" w:rsidRPr="00836A85" w:rsidRDefault="0013798B" w:rsidP="00836A85">
      <w:pPr>
        <w:spacing w:before="60" w:after="60" w:line="240" w:lineRule="auto"/>
        <w:jc w:val="both"/>
        <w:rPr>
          <w:rFonts w:ascii="Brandon Grotesque Regular" w:hAnsi="Brandon Grotesque Regular"/>
          <w:color w:val="000000" w:themeColor="text1"/>
          <w:sz w:val="22"/>
          <w:szCs w:val="22"/>
        </w:rPr>
      </w:pPr>
    </w:p>
    <w:p w14:paraId="3B395941" w14:textId="3CF5CBA9" w:rsidR="0013798B" w:rsidRPr="00836A85" w:rsidRDefault="009A6F0C" w:rsidP="00836A85">
      <w:pPr>
        <w:spacing w:before="60" w:after="60" w:line="240" w:lineRule="auto"/>
        <w:rPr>
          <w:rFonts w:ascii="Brandon Grotesque Regular" w:eastAsiaTheme="minorEastAsia" w:hAnsi="Brandon Grotesque Regular" w:cstheme="minorHAnsi"/>
          <w:sz w:val="22"/>
          <w:szCs w:val="22"/>
          <w:lang w:val="en-GB" w:bidi="ar-SA"/>
        </w:rPr>
      </w:pPr>
      <w:r w:rsidRPr="00836A85">
        <w:rPr>
          <w:rFonts w:ascii="Brandon Grotesque Regular" w:hAnsi="Brandon Grotesque Regular"/>
          <w:color w:val="000000"/>
          <w:sz w:val="22"/>
          <w:szCs w:val="22"/>
        </w:rPr>
        <w:t xml:space="preserve">The Asset Finance business reported a sequential increase in NIM of 23 basis points in the second half of 2025 compared to the first half. The year concluded with NIM at 2.85%, representing a </w:t>
      </w:r>
      <w:proofErr w:type="gramStart"/>
      <w:r w:rsidRPr="00836A85">
        <w:rPr>
          <w:rFonts w:ascii="Brandon Grotesque Regular" w:hAnsi="Brandon Grotesque Regular"/>
          <w:color w:val="000000"/>
          <w:sz w:val="22"/>
          <w:szCs w:val="22"/>
        </w:rPr>
        <w:t>30 basis</w:t>
      </w:r>
      <w:proofErr w:type="gramEnd"/>
      <w:r w:rsidRPr="00836A85">
        <w:rPr>
          <w:rFonts w:ascii="Brandon Grotesque Regular" w:hAnsi="Brandon Grotesque Regular"/>
          <w:color w:val="000000"/>
          <w:sz w:val="22"/>
          <w:szCs w:val="22"/>
        </w:rPr>
        <w:t xml:space="preserve"> point increase on PCP. This improvement was attributed to improved cost of funds and relatively stable swap rates during the earlier part of the year. </w:t>
      </w:r>
    </w:p>
    <w:p w14:paraId="2221F898" w14:textId="77777777" w:rsidR="0013798B" w:rsidRPr="00836A85" w:rsidRDefault="0013798B" w:rsidP="00836A85">
      <w:pPr>
        <w:spacing w:before="60" w:after="60" w:line="240" w:lineRule="auto"/>
        <w:rPr>
          <w:rFonts w:ascii="Brandon Grotesque Regular" w:hAnsi="Brandon Grotesque Regular" w:cstheme="minorHAnsi"/>
          <w:noProof/>
          <w:sz w:val="22"/>
          <w:szCs w:val="22"/>
        </w:rPr>
      </w:pPr>
    </w:p>
    <w:p w14:paraId="0C4A9ADD" w14:textId="43122C81" w:rsidR="0013798B" w:rsidRPr="00836A85" w:rsidRDefault="0013798B" w:rsidP="00836A85">
      <w:pPr>
        <w:spacing w:before="60" w:after="60" w:line="240" w:lineRule="auto"/>
        <w:rPr>
          <w:rFonts w:ascii="Brandon Grotesque Regular" w:hAnsi="Brandon Grotesque Regular" w:cstheme="minorHAnsi"/>
          <w:noProof/>
          <w:sz w:val="22"/>
          <w:szCs w:val="22"/>
        </w:rPr>
      </w:pPr>
      <w:r w:rsidRPr="00836A85">
        <w:rPr>
          <w:rFonts w:ascii="Brandon Grotesque Regular" w:hAnsi="Brandon Grotesque Regular" w:cstheme="minorHAnsi"/>
          <w:noProof/>
          <w:sz w:val="22"/>
          <w:szCs w:val="22"/>
        </w:rPr>
        <w:t>Again, Therese wi</w:t>
      </w:r>
      <w:r w:rsidR="00113367" w:rsidRPr="00836A85">
        <w:rPr>
          <w:rFonts w:ascii="Brandon Grotesque Regular" w:hAnsi="Brandon Grotesque Regular" w:cstheme="minorHAnsi"/>
          <w:noProof/>
          <w:sz w:val="22"/>
          <w:szCs w:val="22"/>
        </w:rPr>
        <w:t>ll</w:t>
      </w:r>
      <w:r w:rsidRPr="00836A85">
        <w:rPr>
          <w:rFonts w:ascii="Brandon Grotesque Regular" w:hAnsi="Brandon Grotesque Regular" w:cstheme="minorHAnsi"/>
          <w:noProof/>
          <w:sz w:val="22"/>
          <w:szCs w:val="22"/>
        </w:rPr>
        <w:t xml:space="preserve"> cover the NIM walk and credit performance in the </w:t>
      </w:r>
      <w:r w:rsidR="007948B1" w:rsidRPr="00836A85">
        <w:rPr>
          <w:rFonts w:ascii="Brandon Grotesque Regular" w:hAnsi="Brandon Grotesque Regular" w:cstheme="minorHAnsi"/>
          <w:noProof/>
          <w:sz w:val="22"/>
          <w:szCs w:val="22"/>
        </w:rPr>
        <w:t>f</w:t>
      </w:r>
      <w:r w:rsidRPr="00836A85">
        <w:rPr>
          <w:rFonts w:ascii="Brandon Grotesque Regular" w:hAnsi="Brandon Grotesque Regular" w:cstheme="minorHAnsi"/>
          <w:noProof/>
          <w:sz w:val="22"/>
          <w:szCs w:val="22"/>
        </w:rPr>
        <w:t xml:space="preserve">inancials.    </w:t>
      </w:r>
    </w:p>
    <w:p w14:paraId="707B5D96" w14:textId="02C4B554" w:rsidR="006E62ED" w:rsidRPr="00836A85" w:rsidRDefault="006E62ED" w:rsidP="00836A85">
      <w:pPr>
        <w:spacing w:before="60" w:after="60" w:line="240" w:lineRule="auto"/>
        <w:rPr>
          <w:rFonts w:ascii="Brandon Grotesque Regular" w:eastAsiaTheme="minorEastAsia" w:hAnsi="Brandon Grotesque Regular" w:cstheme="minorHAnsi"/>
          <w:color w:val="000000" w:themeColor="text1"/>
          <w:sz w:val="22"/>
          <w:szCs w:val="22"/>
          <w:highlight w:val="yellow"/>
          <w:lang w:val="en-GB" w:bidi="ar-SA"/>
        </w:rPr>
      </w:pPr>
    </w:p>
    <w:p w14:paraId="47C24438" w14:textId="42F31095" w:rsidR="006E62ED" w:rsidRPr="00836A85" w:rsidRDefault="006E62ED"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b/>
          <w:bCs/>
          <w:caps/>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t xml:space="preserve">slide number </w:t>
      </w:r>
      <w:r w:rsidR="00C27053" w:rsidRPr="00836A85">
        <w:rPr>
          <w:rFonts w:ascii="Brandon Grotesque Regular" w:eastAsiaTheme="minorEastAsia" w:hAnsi="Brandon Grotesque Regular"/>
          <w:b/>
          <w:bCs/>
          <w:caps/>
          <w:color w:val="002060"/>
          <w:spacing w:val="80"/>
          <w:sz w:val="22"/>
          <w:szCs w:val="22"/>
          <w:lang w:val="en-GB" w:bidi="ar-SA"/>
        </w:rPr>
        <w:t>8</w:t>
      </w:r>
    </w:p>
    <w:p w14:paraId="7A1DA9CC" w14:textId="25EC7CB5" w:rsidR="00EA60D7" w:rsidRPr="00836A85" w:rsidRDefault="00EA60D7"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The Loan and Other Servicing business is the provision of independent loan servicing to the market.   Our Loan and Other Servicing segment continues to report strong growth, benefiting from the strength of our Whole Loan Sale program.</w:t>
      </w:r>
    </w:p>
    <w:p w14:paraId="09046157" w14:textId="77777777" w:rsidR="00EA60D7" w:rsidRPr="00836A85" w:rsidRDefault="00EA60D7"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052E715A" w14:textId="0AF058DC" w:rsidR="00EA60D7" w:rsidRPr="00836A85" w:rsidRDefault="00EA60D7"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As I noted earlier, we completed seven Whole Loan Sales over 2025 totalling $3.5 billion - $3.0 billion in Mortgages and $500 million in Asset Finance.  Whole Loan Sales sees the AUM transfer from Lending to </w:t>
      </w:r>
      <w:r w:rsidRPr="00836A85">
        <w:rPr>
          <w:rFonts w:ascii="Brandon Grotesque Regular" w:eastAsiaTheme="minorEastAsia" w:hAnsi="Brandon Grotesque Regular" w:cstheme="minorHAnsi"/>
          <w:color w:val="000000" w:themeColor="text1"/>
          <w:sz w:val="22"/>
          <w:szCs w:val="22"/>
          <w:lang w:val="en-GB" w:bidi="ar-SA"/>
        </w:rPr>
        <w:lastRenderedPageBreak/>
        <w:t>Servicing – and as such</w:t>
      </w:r>
      <w:r w:rsidR="00830A9E" w:rsidRPr="00836A85">
        <w:rPr>
          <w:rFonts w:ascii="Brandon Grotesque Regular" w:eastAsiaTheme="minorEastAsia" w:hAnsi="Brandon Grotesque Regular" w:cstheme="minorHAnsi"/>
          <w:color w:val="000000" w:themeColor="text1"/>
          <w:sz w:val="22"/>
          <w:szCs w:val="22"/>
          <w:lang w:val="en-GB" w:bidi="ar-SA"/>
        </w:rPr>
        <w:t>,</w:t>
      </w:r>
      <w:r w:rsidRPr="00836A85">
        <w:rPr>
          <w:rFonts w:ascii="Brandon Grotesque Regular" w:eastAsiaTheme="minorEastAsia" w:hAnsi="Brandon Grotesque Regular" w:cstheme="minorHAnsi"/>
          <w:color w:val="000000" w:themeColor="text1"/>
          <w:sz w:val="22"/>
          <w:szCs w:val="22"/>
          <w:lang w:val="en-GB" w:bidi="ar-SA"/>
        </w:rPr>
        <w:t xml:space="preserve"> Servicing AUM close</w:t>
      </w:r>
      <w:r w:rsidR="00F6619C" w:rsidRPr="00836A85">
        <w:rPr>
          <w:rFonts w:ascii="Brandon Grotesque Regular" w:eastAsiaTheme="minorEastAsia" w:hAnsi="Brandon Grotesque Regular" w:cstheme="minorHAnsi"/>
          <w:color w:val="000000" w:themeColor="text1"/>
          <w:sz w:val="22"/>
          <w:szCs w:val="22"/>
          <w:lang w:val="en-GB" w:bidi="ar-SA"/>
        </w:rPr>
        <w:t>d</w:t>
      </w:r>
      <w:r w:rsidRPr="00836A85">
        <w:rPr>
          <w:rFonts w:ascii="Brandon Grotesque Regular" w:eastAsiaTheme="minorEastAsia" w:hAnsi="Brandon Grotesque Regular" w:cstheme="minorHAnsi"/>
          <w:color w:val="000000" w:themeColor="text1"/>
          <w:sz w:val="22"/>
          <w:szCs w:val="22"/>
          <w:lang w:val="en-GB" w:bidi="ar-SA"/>
        </w:rPr>
        <w:t xml:space="preserve"> the year at $5.1 billion – up 5</w:t>
      </w:r>
      <w:r w:rsidR="001408A5" w:rsidRPr="00836A85">
        <w:rPr>
          <w:rFonts w:ascii="Brandon Grotesque Regular" w:eastAsiaTheme="minorEastAsia" w:hAnsi="Brandon Grotesque Regular" w:cstheme="minorHAnsi"/>
          <w:color w:val="000000" w:themeColor="text1"/>
          <w:sz w:val="22"/>
          <w:szCs w:val="22"/>
          <w:lang w:val="en-GB" w:bidi="ar-SA"/>
        </w:rPr>
        <w:t>6</w:t>
      </w:r>
      <w:r w:rsidRPr="00836A85">
        <w:rPr>
          <w:rFonts w:ascii="Brandon Grotesque Regular" w:eastAsiaTheme="minorEastAsia" w:hAnsi="Brandon Grotesque Regular" w:cstheme="minorHAnsi"/>
          <w:color w:val="000000" w:themeColor="text1"/>
          <w:sz w:val="22"/>
          <w:szCs w:val="22"/>
          <w:lang w:val="en-GB" w:bidi="ar-SA"/>
        </w:rPr>
        <w:t xml:space="preserve">% versus December 2024 and </w:t>
      </w:r>
      <w:r w:rsidR="00A5029D" w:rsidRPr="00836A85">
        <w:rPr>
          <w:rFonts w:ascii="Brandon Grotesque Regular" w:eastAsiaTheme="minorEastAsia" w:hAnsi="Brandon Grotesque Regular" w:cstheme="minorHAnsi"/>
          <w:color w:val="000000" w:themeColor="text1"/>
          <w:sz w:val="22"/>
          <w:szCs w:val="22"/>
          <w:lang w:val="en-GB" w:bidi="ar-SA"/>
        </w:rPr>
        <w:t xml:space="preserve">increasing </w:t>
      </w:r>
      <w:r w:rsidRPr="00836A85">
        <w:rPr>
          <w:rFonts w:ascii="Brandon Grotesque Regular" w:eastAsiaTheme="minorEastAsia" w:hAnsi="Brandon Grotesque Regular" w:cstheme="minorHAnsi"/>
          <w:color w:val="000000" w:themeColor="text1"/>
          <w:sz w:val="22"/>
          <w:szCs w:val="22"/>
          <w:lang w:val="en-GB" w:bidi="ar-SA"/>
        </w:rPr>
        <w:t>by a compound growth rate of 89% on December 2023.</w:t>
      </w:r>
    </w:p>
    <w:p w14:paraId="61BF3394" w14:textId="77777777" w:rsidR="00EA60D7" w:rsidRPr="00836A85" w:rsidRDefault="00EA60D7"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7BCFB394" w14:textId="6D9AC6BF" w:rsidR="00EA60D7" w:rsidRPr="00836A85" w:rsidRDefault="00EA60D7"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As I have noted in the past - Whole Loan Sales continue to deliver capital light servic</w:t>
      </w:r>
      <w:r w:rsidR="00F6619C" w:rsidRPr="00836A85">
        <w:rPr>
          <w:rFonts w:ascii="Brandon Grotesque Regular" w:eastAsiaTheme="minorEastAsia" w:hAnsi="Brandon Grotesque Regular" w:cstheme="minorHAnsi"/>
          <w:color w:val="000000" w:themeColor="text1"/>
          <w:sz w:val="22"/>
          <w:szCs w:val="22"/>
          <w:lang w:val="en-GB" w:bidi="ar-SA"/>
        </w:rPr>
        <w:t>ing</w:t>
      </w:r>
      <w:r w:rsidRPr="00836A85">
        <w:rPr>
          <w:rFonts w:ascii="Brandon Grotesque Regular" w:eastAsiaTheme="minorEastAsia" w:hAnsi="Brandon Grotesque Regular" w:cstheme="minorHAnsi"/>
          <w:color w:val="000000" w:themeColor="text1"/>
          <w:sz w:val="22"/>
          <w:szCs w:val="22"/>
          <w:lang w:val="en-GB" w:bidi="ar-SA"/>
        </w:rPr>
        <w:t xml:space="preserve"> income growth. Other Operating Income closed the year at $17.7 million – up $6.7 million on PCP. Whole Loan Sale</w:t>
      </w:r>
      <w:r w:rsidR="00A5029D" w:rsidRPr="00836A85">
        <w:rPr>
          <w:rFonts w:ascii="Brandon Grotesque Regular" w:eastAsiaTheme="minorEastAsia" w:hAnsi="Brandon Grotesque Regular" w:cstheme="minorHAnsi"/>
          <w:color w:val="000000" w:themeColor="text1"/>
          <w:sz w:val="22"/>
          <w:szCs w:val="22"/>
          <w:lang w:val="en-GB" w:bidi="ar-SA"/>
        </w:rPr>
        <w:t>s</w:t>
      </w:r>
      <w:r w:rsidRPr="00836A85">
        <w:rPr>
          <w:rFonts w:ascii="Brandon Grotesque Regular" w:eastAsiaTheme="minorEastAsia" w:hAnsi="Brandon Grotesque Regular" w:cstheme="minorHAnsi"/>
          <w:color w:val="000000" w:themeColor="text1"/>
          <w:sz w:val="22"/>
          <w:szCs w:val="22"/>
          <w:lang w:val="en-GB" w:bidi="ar-SA"/>
        </w:rPr>
        <w:t xml:space="preserve"> are a key part of our overall capital management strategy, as:</w:t>
      </w:r>
    </w:p>
    <w:p w14:paraId="6A292442" w14:textId="7A45B080" w:rsidR="00EA60D7" w:rsidRPr="00836A85" w:rsidRDefault="00A5029D" w:rsidP="00836A85">
      <w:pPr>
        <w:pStyle w:val="ListParagraph"/>
        <w:numPr>
          <w:ilvl w:val="0"/>
          <w:numId w:val="2"/>
        </w:numPr>
        <w:spacing w:before="60" w:after="60" w:line="240" w:lineRule="auto"/>
        <w:ind w:left="851" w:hanging="283"/>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they are</w:t>
      </w:r>
      <w:r w:rsidR="00EA60D7" w:rsidRPr="00836A85">
        <w:rPr>
          <w:rFonts w:ascii="Brandon Grotesque Regular" w:eastAsiaTheme="minorEastAsia" w:hAnsi="Brandon Grotesque Regular" w:cstheme="minorHAnsi"/>
          <w:color w:val="000000" w:themeColor="text1"/>
          <w:sz w:val="22"/>
          <w:szCs w:val="22"/>
          <w:lang w:val="en-GB" w:bidi="ar-SA"/>
        </w:rPr>
        <w:t xml:space="preserve"> capital light.  Whole Loan Sales allow us to recycle capital against growth </w:t>
      </w:r>
      <w:proofErr w:type="gramStart"/>
      <w:r w:rsidR="00EA60D7" w:rsidRPr="00836A85">
        <w:rPr>
          <w:rFonts w:ascii="Brandon Grotesque Regular" w:eastAsiaTheme="minorEastAsia" w:hAnsi="Brandon Grotesque Regular" w:cstheme="minorHAnsi"/>
          <w:color w:val="000000" w:themeColor="text1"/>
          <w:sz w:val="22"/>
          <w:szCs w:val="22"/>
          <w:lang w:val="en-GB" w:bidi="ar-SA"/>
        </w:rPr>
        <w:t>opportunities;</w:t>
      </w:r>
      <w:proofErr w:type="gramEnd"/>
    </w:p>
    <w:p w14:paraId="4760DC9B" w14:textId="5494B566" w:rsidR="00EA60D7" w:rsidRPr="00836A85" w:rsidRDefault="00A5029D" w:rsidP="00836A85">
      <w:pPr>
        <w:pStyle w:val="ListParagraph"/>
        <w:numPr>
          <w:ilvl w:val="0"/>
          <w:numId w:val="2"/>
        </w:numPr>
        <w:spacing w:before="60" w:after="60" w:line="240" w:lineRule="auto"/>
        <w:ind w:left="851" w:hanging="283"/>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they</w:t>
      </w:r>
      <w:r w:rsidR="00EA60D7" w:rsidRPr="00836A85">
        <w:rPr>
          <w:rFonts w:ascii="Brandon Grotesque Regular" w:eastAsiaTheme="minorEastAsia" w:hAnsi="Brandon Grotesque Regular" w:cstheme="minorHAnsi"/>
          <w:color w:val="000000" w:themeColor="text1"/>
          <w:sz w:val="22"/>
          <w:szCs w:val="22"/>
          <w:lang w:val="en-GB" w:bidi="ar-SA"/>
        </w:rPr>
        <w:t xml:space="preserve"> provide an annuity style income, a</w:t>
      </w:r>
      <w:r w:rsidR="00F6619C" w:rsidRPr="00836A85">
        <w:rPr>
          <w:rFonts w:ascii="Brandon Grotesque Regular" w:eastAsiaTheme="minorEastAsia" w:hAnsi="Brandon Grotesque Regular" w:cstheme="minorHAnsi"/>
          <w:color w:val="000000" w:themeColor="text1"/>
          <w:sz w:val="22"/>
          <w:szCs w:val="22"/>
          <w:lang w:val="en-GB" w:bidi="ar-SA"/>
        </w:rPr>
        <w:t>t</w:t>
      </w:r>
      <w:r w:rsidR="00EA60D7" w:rsidRPr="00836A85">
        <w:rPr>
          <w:rFonts w:ascii="Brandon Grotesque Regular" w:eastAsiaTheme="minorEastAsia" w:hAnsi="Brandon Grotesque Regular" w:cstheme="minorHAnsi"/>
          <w:color w:val="000000" w:themeColor="text1"/>
          <w:sz w:val="22"/>
          <w:szCs w:val="22"/>
          <w:lang w:val="en-GB" w:bidi="ar-SA"/>
        </w:rPr>
        <w:t xml:space="preserve"> no incremental cost to the business given the loans are already being serviced; and</w:t>
      </w:r>
    </w:p>
    <w:p w14:paraId="69FBFDF9" w14:textId="127FE7D0" w:rsidR="00EA60D7" w:rsidRPr="00836A85" w:rsidRDefault="00A5029D" w:rsidP="00836A85">
      <w:pPr>
        <w:pStyle w:val="ListParagraph"/>
        <w:numPr>
          <w:ilvl w:val="0"/>
          <w:numId w:val="2"/>
        </w:numPr>
        <w:spacing w:before="60" w:after="60" w:line="240" w:lineRule="auto"/>
        <w:ind w:left="851" w:hanging="283"/>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they</w:t>
      </w:r>
      <w:r w:rsidR="00EA60D7" w:rsidRPr="00836A85">
        <w:rPr>
          <w:rFonts w:ascii="Brandon Grotesque Regular" w:eastAsiaTheme="minorEastAsia" w:hAnsi="Brandon Grotesque Regular" w:cstheme="minorHAnsi"/>
          <w:color w:val="000000" w:themeColor="text1"/>
          <w:sz w:val="22"/>
          <w:szCs w:val="22"/>
          <w:lang w:val="en-GB" w:bidi="ar-SA"/>
        </w:rPr>
        <w:t xml:space="preserve"> provide us with a defensive earnings stream across the credit cycle.</w:t>
      </w:r>
    </w:p>
    <w:p w14:paraId="1AD1F4BD" w14:textId="77777777" w:rsidR="000D135A" w:rsidRPr="00836A85" w:rsidRDefault="000D135A"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162C922D" w14:textId="6E4543AC" w:rsidR="00B6693A" w:rsidRPr="00836A85" w:rsidRDefault="000353CC" w:rsidP="00836A85">
      <w:pPr>
        <w:spacing w:before="60" w:after="60" w:line="240" w:lineRule="auto"/>
        <w:rPr>
          <w:rFonts w:ascii="Brandon Grotesque Regular" w:hAnsi="Brandon Grotesque Regular"/>
          <w:sz w:val="22"/>
          <w:szCs w:val="22"/>
          <w:lang w:val="en-GB" w:bidi="ar-SA"/>
        </w:rPr>
      </w:pPr>
      <w:r w:rsidRPr="00836A85">
        <w:rPr>
          <w:rFonts w:ascii="Brandon Grotesque Regular" w:hAnsi="Brandon Grotesque Regular"/>
          <w:color w:val="000000"/>
          <w:sz w:val="22"/>
          <w:szCs w:val="22"/>
        </w:rPr>
        <w:t xml:space="preserve">Our expertise in loan servicing and dedication to exceptional customer care </w:t>
      </w:r>
      <w:r w:rsidR="00A5029D" w:rsidRPr="00836A85">
        <w:rPr>
          <w:rFonts w:ascii="Brandon Grotesque Regular" w:hAnsi="Brandon Grotesque Regular"/>
          <w:color w:val="000000"/>
          <w:sz w:val="22"/>
          <w:szCs w:val="22"/>
        </w:rPr>
        <w:t xml:space="preserve"> </w:t>
      </w:r>
      <w:r w:rsidR="00B93EC5" w:rsidRPr="00836A85">
        <w:rPr>
          <w:rFonts w:ascii="Brandon Grotesque Regular" w:hAnsi="Brandon Grotesque Regular"/>
          <w:color w:val="000000"/>
          <w:sz w:val="22"/>
          <w:szCs w:val="22"/>
        </w:rPr>
        <w:t xml:space="preserve">will see </w:t>
      </w:r>
      <w:r w:rsidRPr="00836A85">
        <w:rPr>
          <w:rFonts w:ascii="Brandon Grotesque Regular" w:hAnsi="Brandon Grotesque Regular"/>
          <w:color w:val="000000"/>
          <w:sz w:val="22"/>
          <w:szCs w:val="22"/>
        </w:rPr>
        <w:t>Pepper Money appoint</w:t>
      </w:r>
      <w:r w:rsidR="00B93EC5" w:rsidRPr="00836A85">
        <w:rPr>
          <w:rFonts w:ascii="Brandon Grotesque Regular" w:hAnsi="Brandon Grotesque Regular"/>
          <w:color w:val="000000"/>
          <w:sz w:val="22"/>
          <w:szCs w:val="22"/>
        </w:rPr>
        <w:t>ed</w:t>
      </w:r>
      <w:r w:rsidR="009F21BA" w:rsidRPr="00836A85">
        <w:rPr>
          <w:rFonts w:ascii="Brandon Grotesque Regular" w:hAnsi="Brandon Grotesque Regular"/>
          <w:color w:val="000000"/>
          <w:sz w:val="22"/>
          <w:szCs w:val="22"/>
        </w:rPr>
        <w:t xml:space="preserve"> </w:t>
      </w:r>
      <w:r w:rsidRPr="00836A85">
        <w:rPr>
          <w:rFonts w:ascii="Brandon Grotesque Regular" w:hAnsi="Brandon Grotesque Regular"/>
          <w:color w:val="000000"/>
          <w:sz w:val="22"/>
          <w:szCs w:val="22"/>
        </w:rPr>
        <w:t xml:space="preserve">as Servicer for the RAMS portfolio, as announced in November 2025. This transaction is progressing as planned, and subject to the satisfaction of all </w:t>
      </w:r>
      <w:proofErr w:type="gramStart"/>
      <w:r w:rsidRPr="00836A85">
        <w:rPr>
          <w:rFonts w:ascii="Brandon Grotesque Regular" w:hAnsi="Brandon Grotesque Regular"/>
          <w:color w:val="000000"/>
          <w:sz w:val="22"/>
          <w:szCs w:val="22"/>
        </w:rPr>
        <w:t>conditions</w:t>
      </w:r>
      <w:proofErr w:type="gramEnd"/>
      <w:r w:rsidRPr="00836A85">
        <w:rPr>
          <w:rFonts w:ascii="Brandon Grotesque Regular" w:hAnsi="Brandon Grotesque Regular"/>
          <w:color w:val="000000"/>
          <w:sz w:val="22"/>
          <w:szCs w:val="22"/>
        </w:rPr>
        <w:t xml:space="preserve"> precedent, is expected to be completed in Q3 2026. </w:t>
      </w:r>
    </w:p>
    <w:p w14:paraId="164ED6D9" w14:textId="77777777" w:rsidR="00B6693A" w:rsidRPr="00836A85" w:rsidRDefault="00B6693A" w:rsidP="00836A85">
      <w:pPr>
        <w:spacing w:before="60" w:after="60" w:line="240" w:lineRule="auto"/>
        <w:rPr>
          <w:rFonts w:ascii="Brandon Grotesque Regular" w:eastAsiaTheme="minorEastAsia" w:hAnsi="Brandon Grotesque Regular" w:cstheme="minorHAnsi"/>
          <w:color w:val="000000" w:themeColor="text1"/>
          <w:sz w:val="22"/>
          <w:szCs w:val="22"/>
          <w:highlight w:val="yellow"/>
          <w:lang w:val="en-GB" w:bidi="ar-SA"/>
        </w:rPr>
      </w:pPr>
    </w:p>
    <w:p w14:paraId="03A6ADF6" w14:textId="16C93F43" w:rsidR="000D135A" w:rsidRPr="00836A85" w:rsidRDefault="000353CC"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I will now turn to</w:t>
      </w:r>
      <w:r w:rsidR="000D135A" w:rsidRPr="00836A85">
        <w:rPr>
          <w:rFonts w:ascii="Brandon Grotesque Regular" w:eastAsiaTheme="minorEastAsia" w:hAnsi="Brandon Grotesque Regular" w:cstheme="minorHAnsi"/>
          <w:color w:val="000000" w:themeColor="text1"/>
          <w:sz w:val="22"/>
          <w:szCs w:val="22"/>
          <w:lang w:val="en-GB" w:bidi="ar-SA"/>
        </w:rPr>
        <w:t xml:space="preserve"> funding </w:t>
      </w:r>
    </w:p>
    <w:p w14:paraId="5CC82496" w14:textId="367C5A6C" w:rsidR="007033F4" w:rsidRPr="00836A85" w:rsidRDefault="007033F4" w:rsidP="00836A85">
      <w:pPr>
        <w:spacing w:before="60" w:after="60" w:line="240" w:lineRule="auto"/>
        <w:rPr>
          <w:rFonts w:ascii="Brandon Grotesque Regular" w:eastAsiaTheme="minorEastAsia" w:hAnsi="Brandon Grotesque Regular" w:cstheme="minorHAnsi"/>
          <w:color w:val="000000" w:themeColor="text1"/>
          <w:sz w:val="22"/>
          <w:szCs w:val="22"/>
          <w:highlight w:val="yellow"/>
          <w:lang w:val="en-GB" w:bidi="ar-SA"/>
        </w:rPr>
      </w:pPr>
    </w:p>
    <w:p w14:paraId="0EF4F264" w14:textId="0AD4E770" w:rsidR="003B77CE" w:rsidRPr="00836A85" w:rsidRDefault="00BE3CCB"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b/>
          <w:bCs/>
          <w:caps/>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t xml:space="preserve">slide number </w:t>
      </w:r>
      <w:r w:rsidR="00C27053" w:rsidRPr="00836A85">
        <w:rPr>
          <w:rFonts w:ascii="Brandon Grotesque Regular" w:eastAsiaTheme="minorEastAsia" w:hAnsi="Brandon Grotesque Regular"/>
          <w:b/>
          <w:bCs/>
          <w:caps/>
          <w:color w:val="002060"/>
          <w:spacing w:val="80"/>
          <w:sz w:val="22"/>
          <w:szCs w:val="22"/>
          <w:lang w:val="en-GB" w:bidi="ar-SA"/>
        </w:rPr>
        <w:t>9</w:t>
      </w:r>
    </w:p>
    <w:p w14:paraId="0728C827" w14:textId="7A394B99" w:rsidR="000D135A" w:rsidRPr="00836A85" w:rsidRDefault="000353CC"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color w:val="000000"/>
          <w:sz w:val="22"/>
          <w:szCs w:val="22"/>
        </w:rPr>
        <w:t>We completed four Public Term Securitisations totalling $3.5 billion in 2025, including the launch of Pepper Commercial and Residential Securities</w:t>
      </w:r>
      <w:r w:rsidR="00A5029D" w:rsidRPr="00836A85">
        <w:rPr>
          <w:rFonts w:ascii="Brandon Grotesque Regular" w:hAnsi="Brandon Grotesque Regular"/>
          <w:color w:val="000000"/>
          <w:sz w:val="22"/>
          <w:szCs w:val="22"/>
        </w:rPr>
        <w:t xml:space="preserve">, </w:t>
      </w:r>
      <w:r w:rsidRPr="00836A85">
        <w:rPr>
          <w:rFonts w:ascii="Brandon Grotesque Regular" w:hAnsi="Brandon Grotesque Regular"/>
          <w:color w:val="000000"/>
          <w:sz w:val="22"/>
          <w:szCs w:val="22"/>
        </w:rPr>
        <w:t xml:space="preserve">which combines commercial and residential mortgages. </w:t>
      </w:r>
      <w:r w:rsidR="000D135A" w:rsidRPr="00836A85">
        <w:rPr>
          <w:rFonts w:ascii="Brandon Grotesque Regular" w:hAnsi="Brandon Grotesque Regular"/>
          <w:sz w:val="22"/>
          <w:szCs w:val="22"/>
        </w:rPr>
        <w:t xml:space="preserve"> </w:t>
      </w:r>
    </w:p>
    <w:p w14:paraId="21F7EC39" w14:textId="77777777" w:rsidR="000D135A" w:rsidRPr="00836A85" w:rsidRDefault="000D135A" w:rsidP="00836A85">
      <w:pPr>
        <w:autoSpaceDE w:val="0"/>
        <w:autoSpaceDN w:val="0"/>
        <w:adjustRightInd w:val="0"/>
        <w:spacing w:before="60" w:after="60" w:line="240" w:lineRule="auto"/>
        <w:jc w:val="both"/>
        <w:rPr>
          <w:rFonts w:ascii="Brandon Grotesque Regular" w:hAnsi="Brandon Grotesque Regular"/>
          <w:sz w:val="22"/>
          <w:szCs w:val="22"/>
        </w:rPr>
      </w:pPr>
    </w:p>
    <w:p w14:paraId="635F1DAC" w14:textId="5D8B5367" w:rsidR="000D135A" w:rsidRPr="00836A85" w:rsidRDefault="000D135A" w:rsidP="00836A85">
      <w:pPr>
        <w:autoSpaceDE w:val="0"/>
        <w:autoSpaceDN w:val="0"/>
        <w:adjustRightInd w:val="0"/>
        <w:spacing w:before="60" w:after="60" w:line="240" w:lineRule="auto"/>
        <w:jc w:val="both"/>
        <w:rPr>
          <w:rFonts w:ascii="Brandon Grotesque Regular" w:hAnsi="Brandon Grotesque Regular"/>
          <w:sz w:val="22"/>
          <w:szCs w:val="22"/>
        </w:rPr>
      </w:pPr>
      <w:r w:rsidRPr="00836A85">
        <w:rPr>
          <w:rFonts w:ascii="Brandon Grotesque Regular" w:hAnsi="Brandon Grotesque Regular"/>
          <w:sz w:val="22"/>
          <w:szCs w:val="22"/>
        </w:rPr>
        <w:t>Seven Whole Loan Sales were also executed over 2025, totalling $3.5 billion - five Prime Mortgage Whole Loan Sales totalling $2.2 billion</w:t>
      </w:r>
      <w:r w:rsidR="007948B1" w:rsidRPr="00836A85">
        <w:rPr>
          <w:rFonts w:ascii="Brandon Grotesque Regular" w:hAnsi="Brandon Grotesque Regular"/>
          <w:sz w:val="22"/>
          <w:szCs w:val="22"/>
        </w:rPr>
        <w:t xml:space="preserve">, </w:t>
      </w:r>
      <w:r w:rsidRPr="00836A85">
        <w:rPr>
          <w:rFonts w:ascii="Brandon Grotesque Regular" w:hAnsi="Brandon Grotesque Regular"/>
          <w:sz w:val="22"/>
          <w:szCs w:val="22"/>
        </w:rPr>
        <w:t>a Non-Conforming Mortgage Whole Loan Sale of $</w:t>
      </w:r>
      <w:r w:rsidR="000353CC" w:rsidRPr="00836A85">
        <w:rPr>
          <w:rFonts w:ascii="Brandon Grotesque Regular" w:hAnsi="Brandon Grotesque Regular"/>
          <w:sz w:val="22"/>
          <w:szCs w:val="22"/>
        </w:rPr>
        <w:t>800 million</w:t>
      </w:r>
      <w:r w:rsidRPr="00836A85">
        <w:rPr>
          <w:rFonts w:ascii="Brandon Grotesque Regular" w:hAnsi="Brandon Grotesque Regular"/>
          <w:sz w:val="22"/>
          <w:szCs w:val="22"/>
        </w:rPr>
        <w:t xml:space="preserve"> as well as one Asset Finance Whole Loan Sale of $</w:t>
      </w:r>
      <w:r w:rsidR="000353CC" w:rsidRPr="00836A85">
        <w:rPr>
          <w:rFonts w:ascii="Brandon Grotesque Regular" w:hAnsi="Brandon Grotesque Regular"/>
          <w:sz w:val="22"/>
          <w:szCs w:val="22"/>
        </w:rPr>
        <w:t>500 m</w:t>
      </w:r>
      <w:r w:rsidRPr="00836A85">
        <w:rPr>
          <w:rFonts w:ascii="Brandon Grotesque Regular" w:hAnsi="Brandon Grotesque Regular"/>
          <w:sz w:val="22"/>
          <w:szCs w:val="22"/>
        </w:rPr>
        <w:t xml:space="preserve">illion.  </w:t>
      </w:r>
    </w:p>
    <w:p w14:paraId="199E3149" w14:textId="77777777" w:rsidR="000D135A" w:rsidRPr="00836A85" w:rsidRDefault="000D135A" w:rsidP="00836A85">
      <w:pPr>
        <w:autoSpaceDE w:val="0"/>
        <w:autoSpaceDN w:val="0"/>
        <w:adjustRightInd w:val="0"/>
        <w:spacing w:before="60" w:after="60" w:line="240" w:lineRule="auto"/>
        <w:jc w:val="both"/>
        <w:rPr>
          <w:rFonts w:ascii="Brandon Grotesque Regular" w:hAnsi="Brandon Grotesque Regular"/>
          <w:sz w:val="22"/>
          <w:szCs w:val="22"/>
        </w:rPr>
      </w:pPr>
    </w:p>
    <w:p w14:paraId="346CC9D6" w14:textId="450B7BB9" w:rsidR="000D135A" w:rsidRPr="00836A85" w:rsidRDefault="000D135A" w:rsidP="00836A85">
      <w:pPr>
        <w:autoSpaceDE w:val="0"/>
        <w:autoSpaceDN w:val="0"/>
        <w:adjustRightInd w:val="0"/>
        <w:spacing w:before="60" w:after="60" w:line="240" w:lineRule="auto"/>
        <w:jc w:val="both"/>
        <w:rPr>
          <w:rFonts w:ascii="Brandon Grotesque Regular" w:hAnsi="Brandon Grotesque Regular"/>
          <w:sz w:val="22"/>
          <w:szCs w:val="22"/>
        </w:rPr>
      </w:pPr>
      <w:r w:rsidRPr="00836A85">
        <w:rPr>
          <w:rFonts w:ascii="Brandon Grotesque Regular" w:hAnsi="Brandon Grotesque Regular"/>
          <w:sz w:val="22"/>
          <w:szCs w:val="22"/>
        </w:rPr>
        <w:t xml:space="preserve">The $7.0 billion raised from Public Term Securitisations and Whole Loan Sales in 2025 was a record for Pepper Money and an increase of </w:t>
      </w:r>
      <w:r w:rsidR="001408A5" w:rsidRPr="00836A85">
        <w:rPr>
          <w:rFonts w:ascii="Brandon Grotesque Regular" w:hAnsi="Brandon Grotesque Regular"/>
          <w:sz w:val="22"/>
          <w:szCs w:val="22"/>
        </w:rPr>
        <w:t>35</w:t>
      </w:r>
      <w:r w:rsidRPr="00836A85">
        <w:rPr>
          <w:rFonts w:ascii="Brandon Grotesque Regular" w:hAnsi="Brandon Grotesque Regular"/>
          <w:sz w:val="22"/>
          <w:szCs w:val="22"/>
        </w:rPr>
        <w:t>% on PCP</w:t>
      </w:r>
      <w:r w:rsidR="007948B1" w:rsidRPr="00836A85">
        <w:rPr>
          <w:rFonts w:ascii="Brandon Grotesque Regular" w:hAnsi="Brandon Grotesque Regular"/>
          <w:sz w:val="22"/>
          <w:szCs w:val="22"/>
        </w:rPr>
        <w:t>.</w:t>
      </w:r>
    </w:p>
    <w:p w14:paraId="27C7AD40" w14:textId="77777777" w:rsidR="004D6D32" w:rsidRPr="00836A85" w:rsidRDefault="004D6D32" w:rsidP="00836A85">
      <w:pPr>
        <w:autoSpaceDE w:val="0"/>
        <w:autoSpaceDN w:val="0"/>
        <w:adjustRightInd w:val="0"/>
        <w:spacing w:before="60" w:after="60" w:line="240" w:lineRule="auto"/>
        <w:jc w:val="both"/>
        <w:rPr>
          <w:rFonts w:ascii="Brandon Grotesque Regular" w:hAnsi="Brandon Grotesque Regular"/>
          <w:sz w:val="22"/>
          <w:szCs w:val="22"/>
        </w:rPr>
      </w:pPr>
    </w:p>
    <w:p w14:paraId="19FE3E46" w14:textId="649631DC" w:rsidR="000D135A" w:rsidRPr="00836A85" w:rsidRDefault="000D135A" w:rsidP="00836A85">
      <w:pPr>
        <w:spacing w:before="60" w:after="60" w:line="240" w:lineRule="auto"/>
        <w:jc w:val="both"/>
        <w:rPr>
          <w:rFonts w:ascii="Brandon Grotesque Regular" w:hAnsi="Brandon Grotesque Regular"/>
          <w:sz w:val="22"/>
          <w:szCs w:val="22"/>
        </w:rPr>
      </w:pPr>
      <w:r w:rsidRPr="00836A85">
        <w:rPr>
          <w:rFonts w:ascii="Brandon Grotesque Regular" w:hAnsi="Brandon Grotesque Regular"/>
          <w:sz w:val="22"/>
          <w:szCs w:val="22"/>
        </w:rPr>
        <w:t xml:space="preserve">Warehouse capacity </w:t>
      </w:r>
      <w:proofErr w:type="gramStart"/>
      <w:r w:rsidRPr="00836A85">
        <w:rPr>
          <w:rFonts w:ascii="Brandon Grotesque Regular" w:hAnsi="Brandon Grotesque Regular"/>
          <w:sz w:val="22"/>
          <w:szCs w:val="22"/>
        </w:rPr>
        <w:t>at</w:t>
      </w:r>
      <w:proofErr w:type="gramEnd"/>
      <w:r w:rsidRPr="00836A85">
        <w:rPr>
          <w:rFonts w:ascii="Brandon Grotesque Regular" w:hAnsi="Brandon Grotesque Regular"/>
          <w:sz w:val="22"/>
          <w:szCs w:val="22"/>
        </w:rPr>
        <w:t xml:space="preserve"> 31 December 2025 was $13.3 billion</w:t>
      </w:r>
      <w:r w:rsidR="000353CC" w:rsidRPr="00836A85">
        <w:rPr>
          <w:rFonts w:ascii="Brandon Grotesque Regular" w:hAnsi="Brandon Grotesque Regular"/>
          <w:sz w:val="22"/>
          <w:szCs w:val="22"/>
        </w:rPr>
        <w:t>,</w:t>
      </w:r>
      <w:r w:rsidRPr="00836A85">
        <w:rPr>
          <w:rFonts w:ascii="Brandon Grotesque Regular" w:hAnsi="Brandon Grotesque Regular"/>
          <w:sz w:val="22"/>
          <w:szCs w:val="22"/>
        </w:rPr>
        <w:t xml:space="preserve"> an increase of $2.5 billion on 2024 close.  </w:t>
      </w:r>
    </w:p>
    <w:p w14:paraId="12E0DB70" w14:textId="7103B3F7" w:rsidR="000D135A" w:rsidRPr="00836A85" w:rsidRDefault="000D135A" w:rsidP="00836A85">
      <w:pPr>
        <w:spacing w:before="60" w:after="60" w:line="240" w:lineRule="auto"/>
        <w:jc w:val="both"/>
        <w:rPr>
          <w:rFonts w:ascii="Brandon Grotesque Regular" w:hAnsi="Brandon Grotesque Regular"/>
          <w:sz w:val="22"/>
          <w:szCs w:val="22"/>
        </w:rPr>
      </w:pPr>
      <w:r w:rsidRPr="00836A85">
        <w:rPr>
          <w:rFonts w:ascii="Brandon Grotesque Regular" w:hAnsi="Brandon Grotesque Regular"/>
          <w:sz w:val="22"/>
          <w:szCs w:val="22"/>
        </w:rPr>
        <w:t>Our approach to managing headroom capacity allowed the business to capitalise on growth opportunities seen</w:t>
      </w:r>
      <w:r w:rsidR="00B51E6B" w:rsidRPr="00836A85">
        <w:rPr>
          <w:rFonts w:ascii="Brandon Grotesque Regular" w:hAnsi="Brandon Grotesque Regular"/>
          <w:sz w:val="22"/>
          <w:szCs w:val="22"/>
        </w:rPr>
        <w:t xml:space="preserve"> over</w:t>
      </w:r>
      <w:r w:rsidRPr="00836A85">
        <w:rPr>
          <w:rFonts w:ascii="Brandon Grotesque Regular" w:hAnsi="Brandon Grotesque Regular"/>
          <w:sz w:val="22"/>
          <w:szCs w:val="22"/>
        </w:rPr>
        <w:t xml:space="preserve"> </w:t>
      </w:r>
      <w:r w:rsidR="00A5029D" w:rsidRPr="00836A85">
        <w:rPr>
          <w:rFonts w:ascii="Brandon Grotesque Regular" w:hAnsi="Brandon Grotesque Regular"/>
          <w:sz w:val="22"/>
          <w:szCs w:val="22"/>
        </w:rPr>
        <w:t>the year and</w:t>
      </w:r>
      <w:r w:rsidRPr="00836A85">
        <w:rPr>
          <w:rFonts w:ascii="Brandon Grotesque Regular" w:hAnsi="Brandon Grotesque Regular"/>
          <w:sz w:val="22"/>
          <w:szCs w:val="22"/>
        </w:rPr>
        <w:t xml:space="preserve"> Originations </w:t>
      </w:r>
      <w:r w:rsidR="00A5029D" w:rsidRPr="00836A85">
        <w:rPr>
          <w:rFonts w:ascii="Brandon Grotesque Regular" w:hAnsi="Brandon Grotesque Regular"/>
          <w:sz w:val="22"/>
          <w:szCs w:val="22"/>
        </w:rPr>
        <w:t xml:space="preserve">grew </w:t>
      </w:r>
      <w:r w:rsidRPr="00836A85">
        <w:rPr>
          <w:rFonts w:ascii="Brandon Grotesque Regular" w:hAnsi="Brandon Grotesque Regular"/>
          <w:sz w:val="22"/>
          <w:szCs w:val="22"/>
        </w:rPr>
        <w:t>by 47%</w:t>
      </w:r>
      <w:r w:rsidR="007948B1" w:rsidRPr="00836A85">
        <w:rPr>
          <w:rFonts w:ascii="Brandon Grotesque Regular" w:hAnsi="Brandon Grotesque Regular"/>
          <w:sz w:val="22"/>
          <w:szCs w:val="22"/>
        </w:rPr>
        <w:t>.</w:t>
      </w:r>
    </w:p>
    <w:p w14:paraId="7B755FF6" w14:textId="77777777" w:rsidR="004D6D32" w:rsidRPr="00836A85" w:rsidRDefault="004D6D32" w:rsidP="00836A85">
      <w:pPr>
        <w:spacing w:before="60" w:after="60" w:line="240" w:lineRule="auto"/>
        <w:jc w:val="both"/>
        <w:rPr>
          <w:rFonts w:ascii="Brandon Grotesque Regular" w:hAnsi="Brandon Grotesque Regular"/>
          <w:sz w:val="22"/>
          <w:szCs w:val="22"/>
        </w:rPr>
      </w:pPr>
    </w:p>
    <w:p w14:paraId="38501EDE" w14:textId="573C935E" w:rsidR="000D135A" w:rsidRPr="00836A85" w:rsidRDefault="0072001E" w:rsidP="00836A85">
      <w:pPr>
        <w:spacing w:before="60" w:after="60" w:line="240" w:lineRule="auto"/>
        <w:rPr>
          <w:rFonts w:ascii="Brandon Grotesque Regular" w:hAnsi="Brandon Grotesque Regular"/>
          <w:sz w:val="22"/>
          <w:szCs w:val="22"/>
          <w:lang w:val="en-GB" w:bidi="ar-SA"/>
        </w:rPr>
      </w:pPr>
      <w:r w:rsidRPr="00836A85">
        <w:rPr>
          <w:rFonts w:ascii="Brandon Grotesque Regular" w:hAnsi="Brandon Grotesque Regular"/>
          <w:color w:val="000000"/>
          <w:sz w:val="22"/>
          <w:szCs w:val="22"/>
        </w:rPr>
        <w:t xml:space="preserve">Since 2003, Pepper Money has raised </w:t>
      </w:r>
      <w:proofErr w:type="gramStart"/>
      <w:r w:rsidRPr="00836A85">
        <w:rPr>
          <w:rFonts w:ascii="Brandon Grotesque Regular" w:hAnsi="Brandon Grotesque Regular"/>
          <w:color w:val="000000"/>
          <w:sz w:val="22"/>
          <w:szCs w:val="22"/>
        </w:rPr>
        <w:t>in excess of</w:t>
      </w:r>
      <w:proofErr w:type="gramEnd"/>
      <w:r w:rsidRPr="00836A85">
        <w:rPr>
          <w:rFonts w:ascii="Brandon Grotesque Regular" w:hAnsi="Brandon Grotesque Regular"/>
          <w:color w:val="000000"/>
          <w:sz w:val="22"/>
          <w:szCs w:val="22"/>
        </w:rPr>
        <w:t xml:space="preserve"> $45 billion through 68 debt market transactions, maintaining strong relationships with over 100 investors who consistently support the business. Notably, every public term securitisation issued since our inaugural transaction in 2003 has been called at the first available call date. </w:t>
      </w:r>
    </w:p>
    <w:p w14:paraId="48FD775D" w14:textId="77777777" w:rsidR="000D135A" w:rsidRPr="00836A85" w:rsidRDefault="000D135A"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24379AF5" w14:textId="361BEBEA" w:rsidR="00CF3ECE" w:rsidRPr="00836A85" w:rsidRDefault="005C28A9"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Now turning to productivity</w:t>
      </w:r>
      <w:r w:rsidR="007948B1" w:rsidRPr="00836A85">
        <w:rPr>
          <w:rFonts w:ascii="Brandon Grotesque Regular" w:eastAsiaTheme="minorEastAsia" w:hAnsi="Brandon Grotesque Regular" w:cstheme="minorHAnsi"/>
          <w:color w:val="000000" w:themeColor="text1"/>
          <w:sz w:val="22"/>
          <w:szCs w:val="22"/>
          <w:lang w:val="en-GB" w:bidi="ar-SA"/>
        </w:rPr>
        <w:t>.</w:t>
      </w:r>
      <w:r w:rsidR="00CF3ECE" w:rsidRPr="00836A85">
        <w:rPr>
          <w:rFonts w:ascii="Brandon Grotesque Regular" w:eastAsiaTheme="minorEastAsia" w:hAnsi="Brandon Grotesque Regular" w:cstheme="minorHAnsi"/>
          <w:color w:val="000000" w:themeColor="text1"/>
          <w:sz w:val="22"/>
          <w:szCs w:val="22"/>
          <w:lang w:val="en-GB" w:bidi="ar-SA"/>
        </w:rPr>
        <w:br w:type="page"/>
      </w:r>
    </w:p>
    <w:p w14:paraId="7749E1BE" w14:textId="6FD663AA" w:rsidR="00CF3ECE" w:rsidRPr="00836A85" w:rsidRDefault="00CF3ECE"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b/>
          <w:bCs/>
          <w:caps/>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lastRenderedPageBreak/>
        <w:t>slide number 1</w:t>
      </w:r>
      <w:r w:rsidR="00075D94" w:rsidRPr="00836A85">
        <w:rPr>
          <w:rFonts w:ascii="Brandon Grotesque Regular" w:eastAsiaTheme="minorEastAsia" w:hAnsi="Brandon Grotesque Regular"/>
          <w:b/>
          <w:bCs/>
          <w:caps/>
          <w:color w:val="002060"/>
          <w:spacing w:val="80"/>
          <w:sz w:val="22"/>
          <w:szCs w:val="22"/>
          <w:lang w:val="en-GB" w:bidi="ar-SA"/>
        </w:rPr>
        <w:t>2</w:t>
      </w:r>
    </w:p>
    <w:p w14:paraId="65234862" w14:textId="49EE60F4" w:rsidR="00CF3ECE" w:rsidRPr="00836A85" w:rsidRDefault="0072001E" w:rsidP="00836A85">
      <w:pPr>
        <w:spacing w:before="60" w:after="60" w:line="240" w:lineRule="auto"/>
        <w:rPr>
          <w:rFonts w:ascii="Brandon Grotesque Regular" w:hAnsi="Brandon Grotesque Regular"/>
          <w:sz w:val="22"/>
          <w:szCs w:val="22"/>
          <w:lang w:val="en-GB" w:bidi="ar-SA"/>
        </w:rPr>
      </w:pPr>
      <w:r w:rsidRPr="00836A85">
        <w:rPr>
          <w:rFonts w:ascii="Brandon Grotesque Regular" w:hAnsi="Brandon Grotesque Regular"/>
          <w:color w:val="000000"/>
          <w:sz w:val="22"/>
          <w:szCs w:val="22"/>
        </w:rPr>
        <w:t xml:space="preserve">Continued investment in our technology platform and processes significantly enhanced productivity throughout the year, enabling us to increase, manage, and fulfil Originations growth while reducing acquisition and servicing costs. </w:t>
      </w:r>
    </w:p>
    <w:p w14:paraId="159CCCA4" w14:textId="77777777" w:rsidR="00CF3ECE" w:rsidRPr="00836A85" w:rsidRDefault="00CF3ECE"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50880463" w14:textId="50FDEBA7" w:rsidR="00075D94" w:rsidRPr="00836A85" w:rsidRDefault="0072001E" w:rsidP="00836A85">
      <w:pPr>
        <w:spacing w:before="60" w:after="60" w:line="240" w:lineRule="auto"/>
        <w:rPr>
          <w:rFonts w:ascii="Brandon Grotesque Regular" w:hAnsi="Brandon Grotesque Regular"/>
          <w:sz w:val="22"/>
          <w:szCs w:val="22"/>
          <w:lang w:val="en-GB" w:bidi="ar-SA"/>
        </w:rPr>
      </w:pPr>
      <w:r w:rsidRPr="00836A85">
        <w:rPr>
          <w:rFonts w:ascii="Brandon Grotesque Regular" w:hAnsi="Brandon Grotesque Regular"/>
          <w:color w:val="000000"/>
          <w:sz w:val="22"/>
          <w:szCs w:val="22"/>
        </w:rPr>
        <w:t xml:space="preserve">Achieving faster turnaround times through process enhancements, including the effective use of technology, has been a core strategic priority and is evident in our performance across 2025. Within our Mortgage and Asset Finance Origination platforms—Sage and Solana respectively—we have realised significant improvements in cost to originate. Mortgage Credit productivity increased by 30%, while Settlements productivity advanced by 51% over the past two years. Asset Finance recorded a 5% gain in Credit productivity, and Settlement efficiency improved by 13% during the same timeframe. </w:t>
      </w:r>
    </w:p>
    <w:p w14:paraId="355705F9" w14:textId="77777777" w:rsidR="00CF3ECE" w:rsidRPr="00836A85" w:rsidRDefault="00CF3ECE"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09BA57D4" w14:textId="72420CD3" w:rsidR="00075D94" w:rsidRPr="00836A85" w:rsidRDefault="00CF3ECE"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Our servicing platform, Apollo, continued to deliver enhanced customer self-help options and materially reduc</w:t>
      </w:r>
      <w:r w:rsidR="00E44FF0" w:rsidRPr="00836A85">
        <w:rPr>
          <w:rFonts w:ascii="Brandon Grotesque Regular" w:eastAsiaTheme="minorEastAsia" w:hAnsi="Brandon Grotesque Regular" w:cstheme="minorHAnsi"/>
          <w:color w:val="000000" w:themeColor="text1"/>
          <w:sz w:val="22"/>
          <w:szCs w:val="22"/>
          <w:lang w:val="en-GB" w:bidi="ar-SA"/>
        </w:rPr>
        <w:t>ing</w:t>
      </w:r>
      <w:r w:rsidRPr="00836A85">
        <w:rPr>
          <w:rFonts w:ascii="Brandon Grotesque Regular" w:eastAsiaTheme="minorEastAsia" w:hAnsi="Brandon Grotesque Regular" w:cstheme="minorHAnsi"/>
          <w:color w:val="000000" w:themeColor="text1"/>
          <w:sz w:val="22"/>
          <w:szCs w:val="22"/>
          <w:lang w:val="en-GB" w:bidi="ar-SA"/>
        </w:rPr>
        <w:t xml:space="preserve"> customer effort post settlement – as well as reducing our cost to serve.   Servicing productivity has grown </w:t>
      </w:r>
      <w:r w:rsidR="00075D94" w:rsidRPr="00836A85">
        <w:rPr>
          <w:rFonts w:ascii="Brandon Grotesque Regular" w:eastAsiaTheme="minorEastAsia" w:hAnsi="Brandon Grotesque Regular" w:cstheme="minorHAnsi"/>
          <w:color w:val="000000" w:themeColor="text1"/>
          <w:sz w:val="22"/>
          <w:szCs w:val="22"/>
          <w:lang w:val="en-GB" w:bidi="ar-SA"/>
        </w:rPr>
        <w:t>13</w:t>
      </w:r>
      <w:r w:rsidRPr="00836A85">
        <w:rPr>
          <w:rFonts w:ascii="Brandon Grotesque Regular" w:eastAsiaTheme="minorEastAsia" w:hAnsi="Brandon Grotesque Regular" w:cstheme="minorHAnsi"/>
          <w:color w:val="000000" w:themeColor="text1"/>
          <w:sz w:val="22"/>
          <w:szCs w:val="22"/>
          <w:lang w:val="en-GB" w:bidi="ar-SA"/>
        </w:rPr>
        <w:t xml:space="preserve">% </w:t>
      </w:r>
      <w:r w:rsidR="00075D94" w:rsidRPr="00836A85">
        <w:rPr>
          <w:rFonts w:ascii="Brandon Grotesque Regular" w:eastAsiaTheme="minorEastAsia" w:hAnsi="Brandon Grotesque Regular" w:cstheme="minorHAnsi"/>
          <w:color w:val="000000" w:themeColor="text1"/>
          <w:sz w:val="22"/>
          <w:szCs w:val="22"/>
          <w:lang w:val="en-GB" w:bidi="ar-SA"/>
        </w:rPr>
        <w:t xml:space="preserve">since 2023.  Our investment in AI is delivering benefits in Servicing – reducing both work effort and supporting better customer outcomes, in terms of speed and responsiveness. </w:t>
      </w:r>
    </w:p>
    <w:p w14:paraId="48B40E3D" w14:textId="77777777" w:rsidR="00CF3ECE" w:rsidRPr="00836A85" w:rsidRDefault="00CF3ECE"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3E931DF7" w14:textId="4B67648D" w:rsidR="00CF3ECE" w:rsidRPr="00836A85" w:rsidRDefault="00075D94"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As you would expect - w</w:t>
      </w:r>
      <w:r w:rsidR="00CF3ECE" w:rsidRPr="00836A85">
        <w:rPr>
          <w:rFonts w:ascii="Brandon Grotesque Regular" w:eastAsiaTheme="minorEastAsia" w:hAnsi="Brandon Grotesque Regular" w:cstheme="minorHAnsi"/>
          <w:color w:val="000000" w:themeColor="text1"/>
          <w:sz w:val="22"/>
          <w:szCs w:val="22"/>
          <w:lang w:val="en-GB" w:bidi="ar-SA"/>
        </w:rPr>
        <w:t xml:space="preserve">e </w:t>
      </w:r>
      <w:r w:rsidRPr="00836A85">
        <w:rPr>
          <w:rFonts w:ascii="Brandon Grotesque Regular" w:eastAsiaTheme="minorEastAsia" w:hAnsi="Brandon Grotesque Regular" w:cstheme="minorHAnsi"/>
          <w:color w:val="000000" w:themeColor="text1"/>
          <w:sz w:val="22"/>
          <w:szCs w:val="22"/>
          <w:lang w:val="en-GB" w:bidi="ar-SA"/>
        </w:rPr>
        <w:t xml:space="preserve">will </w:t>
      </w:r>
      <w:r w:rsidR="00CF3ECE" w:rsidRPr="00836A85">
        <w:rPr>
          <w:rFonts w:ascii="Brandon Grotesque Regular" w:eastAsiaTheme="minorEastAsia" w:hAnsi="Brandon Grotesque Regular" w:cstheme="minorHAnsi"/>
          <w:color w:val="000000" w:themeColor="text1"/>
          <w:sz w:val="22"/>
          <w:szCs w:val="22"/>
          <w:lang w:val="en-GB" w:bidi="ar-SA"/>
        </w:rPr>
        <w:t>continue to leverage our technology stack, creating capacity and efficiencies to accommodate future growth. We are listening to our customers and partners - designing solutions to give them more ways to engage and interact with us.</w:t>
      </w:r>
    </w:p>
    <w:p w14:paraId="6D97BF44" w14:textId="7634FBDC" w:rsidR="00075D94" w:rsidRPr="00836A85" w:rsidRDefault="00075D94"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43A84455" w14:textId="468F2DB4" w:rsidR="00CF3ECE" w:rsidRPr="00836A85" w:rsidRDefault="00CF3ECE"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Before handing over </w:t>
      </w:r>
      <w:r w:rsidR="00ED09B4" w:rsidRPr="00836A85">
        <w:rPr>
          <w:rFonts w:ascii="Brandon Grotesque Regular" w:eastAsiaTheme="minorEastAsia" w:hAnsi="Brandon Grotesque Regular" w:cstheme="minorHAnsi"/>
          <w:color w:val="000000" w:themeColor="text1"/>
          <w:sz w:val="22"/>
          <w:szCs w:val="22"/>
          <w:lang w:val="en-GB" w:bidi="ar-SA"/>
        </w:rPr>
        <w:t xml:space="preserve">to </w:t>
      </w:r>
      <w:r w:rsidRPr="00836A85">
        <w:rPr>
          <w:rFonts w:ascii="Brandon Grotesque Regular" w:eastAsiaTheme="minorEastAsia" w:hAnsi="Brandon Grotesque Regular" w:cstheme="minorHAnsi"/>
          <w:color w:val="000000" w:themeColor="text1"/>
          <w:sz w:val="22"/>
          <w:szCs w:val="22"/>
          <w:lang w:val="en-GB" w:bidi="ar-SA"/>
        </w:rPr>
        <w:t xml:space="preserve">Therese to run through the financials, I will just touch on our ESG framework and initiatives. </w:t>
      </w:r>
    </w:p>
    <w:p w14:paraId="374D8825" w14:textId="5BA5C291" w:rsidR="000D135A" w:rsidRPr="00836A85" w:rsidRDefault="000D135A"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6F7A8693" w14:textId="68391EBB" w:rsidR="00253198" w:rsidRPr="00836A85" w:rsidRDefault="00253198"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b/>
          <w:bCs/>
          <w:caps/>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t>slide number 1</w:t>
      </w:r>
      <w:r w:rsidR="00075D94" w:rsidRPr="00836A85">
        <w:rPr>
          <w:rFonts w:ascii="Brandon Grotesque Regular" w:eastAsiaTheme="minorEastAsia" w:hAnsi="Brandon Grotesque Regular"/>
          <w:b/>
          <w:bCs/>
          <w:caps/>
          <w:color w:val="002060"/>
          <w:spacing w:val="80"/>
          <w:sz w:val="22"/>
          <w:szCs w:val="22"/>
          <w:lang w:val="en-GB" w:bidi="ar-SA"/>
        </w:rPr>
        <w:t>1</w:t>
      </w:r>
    </w:p>
    <w:p w14:paraId="1DA2582A" w14:textId="379ACAB1" w:rsidR="000D135A" w:rsidRPr="00836A85" w:rsidRDefault="000D135A" w:rsidP="00836A85">
      <w:pPr>
        <w:spacing w:before="60" w:after="60" w:line="240" w:lineRule="auto"/>
        <w:rPr>
          <w:rFonts w:ascii="Brandon Grotesque Regular" w:eastAsiaTheme="minorEastAsia" w:hAnsi="Brandon Grotesque Regular" w:cstheme="minorHAnsi"/>
          <w:color w:val="000000" w:themeColor="text1"/>
          <w:sz w:val="22"/>
          <w:szCs w:val="22"/>
          <w:lang w:bidi="ar-SA"/>
        </w:rPr>
      </w:pPr>
      <w:bookmarkStart w:id="2" w:name="_Hlk159661632"/>
      <w:r w:rsidRPr="00836A85">
        <w:rPr>
          <w:rFonts w:ascii="Brandon Grotesque Regular" w:eastAsiaTheme="minorEastAsia" w:hAnsi="Brandon Grotesque Regular" w:cstheme="minorHAnsi"/>
          <w:color w:val="000000" w:themeColor="text1"/>
          <w:sz w:val="22"/>
          <w:szCs w:val="22"/>
          <w:lang w:bidi="ar-SA"/>
        </w:rPr>
        <w:t xml:space="preserve">In line with the introduction of the new Reporting Standard on Climate-related Disclosures, Pepper Money, as a Group 1 Reporting Entity, has commenced mandatory climate-related reporting from 1 January 2025 – and you </w:t>
      </w:r>
      <w:r w:rsidR="00B51E6B" w:rsidRPr="00836A85">
        <w:rPr>
          <w:rFonts w:ascii="Brandon Grotesque Regular" w:eastAsiaTheme="minorEastAsia" w:hAnsi="Brandon Grotesque Regular" w:cstheme="minorHAnsi"/>
          <w:color w:val="000000" w:themeColor="text1"/>
          <w:sz w:val="22"/>
          <w:szCs w:val="22"/>
          <w:lang w:bidi="ar-SA"/>
        </w:rPr>
        <w:t xml:space="preserve">will </w:t>
      </w:r>
      <w:r w:rsidRPr="00836A85">
        <w:rPr>
          <w:rFonts w:ascii="Brandon Grotesque Regular" w:eastAsiaTheme="minorEastAsia" w:hAnsi="Brandon Grotesque Regular" w:cstheme="minorHAnsi"/>
          <w:color w:val="000000" w:themeColor="text1"/>
          <w:sz w:val="22"/>
          <w:szCs w:val="22"/>
          <w:lang w:bidi="ar-SA"/>
        </w:rPr>
        <w:t>find our Sustainability Report in our Annual Report</w:t>
      </w:r>
      <w:r w:rsidR="00A5029D" w:rsidRPr="00836A85">
        <w:rPr>
          <w:rFonts w:ascii="Brandon Grotesque Regular" w:eastAsiaTheme="minorEastAsia" w:hAnsi="Brandon Grotesque Regular" w:cstheme="minorHAnsi"/>
          <w:color w:val="000000" w:themeColor="text1"/>
          <w:sz w:val="22"/>
          <w:szCs w:val="22"/>
          <w:lang w:bidi="ar-SA"/>
        </w:rPr>
        <w:t>.</w:t>
      </w:r>
    </w:p>
    <w:p w14:paraId="7EF9BB6F" w14:textId="77777777" w:rsidR="00860495" w:rsidRPr="00836A85" w:rsidRDefault="00860495" w:rsidP="00836A85">
      <w:pPr>
        <w:spacing w:before="60" w:after="60" w:line="240" w:lineRule="auto"/>
        <w:rPr>
          <w:rFonts w:ascii="Brandon Grotesque Regular" w:eastAsiaTheme="minorEastAsia" w:hAnsi="Brandon Grotesque Regular" w:cstheme="minorHAnsi"/>
          <w:color w:val="000000" w:themeColor="text1"/>
          <w:sz w:val="22"/>
          <w:szCs w:val="22"/>
          <w:lang w:bidi="ar-SA"/>
        </w:rPr>
      </w:pPr>
    </w:p>
    <w:p w14:paraId="2C15F577" w14:textId="061B7A7B" w:rsidR="000D135A" w:rsidRPr="00836A85" w:rsidRDefault="000D135A" w:rsidP="00836A85">
      <w:pPr>
        <w:spacing w:before="60" w:after="60" w:line="240" w:lineRule="auto"/>
        <w:rPr>
          <w:rFonts w:ascii="Brandon Grotesque Regular" w:eastAsiaTheme="minorEastAsia" w:hAnsi="Brandon Grotesque Regular" w:cstheme="minorHAnsi"/>
          <w:color w:val="000000" w:themeColor="text1"/>
          <w:sz w:val="22"/>
          <w:szCs w:val="22"/>
          <w:lang w:bidi="ar-SA"/>
        </w:rPr>
      </w:pPr>
      <w:r w:rsidRPr="00836A85">
        <w:rPr>
          <w:rFonts w:ascii="Brandon Grotesque Regular" w:eastAsiaTheme="minorEastAsia" w:hAnsi="Brandon Grotesque Regular" w:cstheme="minorHAnsi"/>
          <w:color w:val="000000" w:themeColor="text1"/>
          <w:sz w:val="22"/>
          <w:szCs w:val="22"/>
          <w:lang w:bidi="ar-SA"/>
        </w:rPr>
        <w:t>The business has always had a focus on ESG – given our mission “to help people succeed”.  We have a</w:t>
      </w:r>
      <w:r w:rsidR="0077358A" w:rsidRPr="00836A85">
        <w:rPr>
          <w:rFonts w:ascii="Brandon Grotesque Regular" w:eastAsiaTheme="minorEastAsia" w:hAnsi="Brandon Grotesque Regular" w:cstheme="minorHAnsi"/>
          <w:color w:val="000000" w:themeColor="text1"/>
          <w:sz w:val="22"/>
          <w:szCs w:val="22"/>
          <w:lang w:bidi="ar-SA"/>
        </w:rPr>
        <w:t>n</w:t>
      </w:r>
      <w:r w:rsidRPr="00836A85">
        <w:rPr>
          <w:rFonts w:ascii="Brandon Grotesque Regular" w:eastAsiaTheme="minorEastAsia" w:hAnsi="Brandon Grotesque Regular" w:cstheme="minorHAnsi"/>
          <w:color w:val="000000" w:themeColor="text1"/>
          <w:sz w:val="22"/>
          <w:szCs w:val="22"/>
          <w:lang w:bidi="ar-SA"/>
        </w:rPr>
        <w:t xml:space="preserve"> embedded ESG Framework </w:t>
      </w:r>
      <w:r w:rsidR="0077358A" w:rsidRPr="00836A85">
        <w:rPr>
          <w:rFonts w:ascii="Brandon Grotesque Regular" w:eastAsiaTheme="minorEastAsia" w:hAnsi="Brandon Grotesque Regular" w:cstheme="minorHAnsi"/>
          <w:color w:val="000000" w:themeColor="text1"/>
          <w:sz w:val="22"/>
          <w:szCs w:val="22"/>
          <w:lang w:bidi="ar-SA"/>
        </w:rPr>
        <w:t xml:space="preserve">which operates across the Company with a strong governance framework to support   our commitment to ESG, with ultimate oversight and responsibility vested with the Board., and with </w:t>
      </w:r>
      <w:r w:rsidR="009C5384" w:rsidRPr="00836A85">
        <w:rPr>
          <w:rFonts w:ascii="Brandon Grotesque Regular" w:eastAsiaTheme="minorEastAsia" w:hAnsi="Brandon Grotesque Regular" w:cstheme="minorHAnsi"/>
          <w:color w:val="000000" w:themeColor="text1"/>
          <w:sz w:val="22"/>
          <w:szCs w:val="22"/>
          <w:lang w:bidi="ar-SA"/>
        </w:rPr>
        <w:t>well-defined</w:t>
      </w:r>
      <w:r w:rsidR="0077358A" w:rsidRPr="00836A85">
        <w:rPr>
          <w:rFonts w:ascii="Brandon Grotesque Regular" w:eastAsiaTheme="minorEastAsia" w:hAnsi="Brandon Grotesque Regular" w:cstheme="minorHAnsi"/>
          <w:color w:val="000000" w:themeColor="text1"/>
          <w:sz w:val="22"/>
          <w:szCs w:val="22"/>
          <w:lang w:bidi="ar-SA"/>
        </w:rPr>
        <w:t xml:space="preserve"> roles and responsibilities across the organisation.</w:t>
      </w:r>
    </w:p>
    <w:p w14:paraId="7302238B" w14:textId="77777777" w:rsidR="00860495" w:rsidRPr="00836A85" w:rsidRDefault="00860495" w:rsidP="00836A85">
      <w:pPr>
        <w:spacing w:before="60" w:after="60" w:line="240" w:lineRule="auto"/>
        <w:rPr>
          <w:rFonts w:ascii="Brandon Grotesque Regular" w:eastAsiaTheme="minorEastAsia" w:hAnsi="Brandon Grotesque Regular" w:cstheme="minorHAnsi"/>
          <w:color w:val="000000" w:themeColor="text1"/>
          <w:sz w:val="22"/>
          <w:szCs w:val="22"/>
          <w:lang w:bidi="ar-SA"/>
        </w:rPr>
      </w:pPr>
    </w:p>
    <w:p w14:paraId="15B4CA22" w14:textId="77777777" w:rsidR="00113367" w:rsidRPr="00836A85" w:rsidRDefault="00FF4791" w:rsidP="00836A85">
      <w:pPr>
        <w:spacing w:before="60" w:after="60" w:line="240" w:lineRule="auto"/>
        <w:rPr>
          <w:rFonts w:ascii="Brandon Grotesque Regular" w:eastAsiaTheme="minorEastAsia" w:hAnsi="Brandon Grotesque Regular" w:cstheme="minorHAnsi"/>
          <w:color w:val="000000" w:themeColor="text1"/>
          <w:sz w:val="22"/>
          <w:szCs w:val="22"/>
          <w:lang w:bidi="ar-SA"/>
        </w:rPr>
      </w:pPr>
      <w:r w:rsidRPr="00836A85">
        <w:rPr>
          <w:rFonts w:ascii="Brandon Grotesque Regular" w:eastAsiaTheme="minorEastAsia" w:hAnsi="Brandon Grotesque Regular" w:cstheme="minorHAnsi"/>
          <w:color w:val="000000" w:themeColor="text1"/>
          <w:sz w:val="22"/>
          <w:szCs w:val="22"/>
          <w:lang w:bidi="ar-SA"/>
        </w:rPr>
        <w:t>I won’t run through all our 202</w:t>
      </w:r>
      <w:r w:rsidR="00A5029D" w:rsidRPr="00836A85">
        <w:rPr>
          <w:rFonts w:ascii="Brandon Grotesque Regular" w:eastAsiaTheme="minorEastAsia" w:hAnsi="Brandon Grotesque Regular" w:cstheme="minorHAnsi"/>
          <w:color w:val="000000" w:themeColor="text1"/>
          <w:sz w:val="22"/>
          <w:szCs w:val="22"/>
          <w:lang w:bidi="ar-SA"/>
        </w:rPr>
        <w:t>5</w:t>
      </w:r>
      <w:r w:rsidRPr="00836A85">
        <w:rPr>
          <w:rFonts w:ascii="Brandon Grotesque Regular" w:eastAsiaTheme="minorEastAsia" w:hAnsi="Brandon Grotesque Regular" w:cstheme="minorHAnsi"/>
          <w:color w:val="000000" w:themeColor="text1"/>
          <w:sz w:val="22"/>
          <w:szCs w:val="22"/>
          <w:lang w:bidi="ar-SA"/>
        </w:rPr>
        <w:t xml:space="preserve"> ESG achievements, as I have covered some of the Employee, Customer and Partner initiatives already – but will just highlight our community focus – which is led by our employee run Pepper Giving program. </w:t>
      </w:r>
    </w:p>
    <w:p w14:paraId="3264AD5B" w14:textId="77777777" w:rsidR="00113367" w:rsidRPr="00836A85" w:rsidRDefault="00FF4791" w:rsidP="00836A85">
      <w:pPr>
        <w:spacing w:before="60" w:after="60" w:line="240" w:lineRule="auto"/>
        <w:rPr>
          <w:rFonts w:ascii="Brandon Grotesque Regular" w:eastAsiaTheme="minorEastAsia" w:hAnsi="Brandon Grotesque Regular" w:cstheme="minorHAnsi"/>
          <w:color w:val="000000" w:themeColor="text1"/>
          <w:sz w:val="22"/>
          <w:szCs w:val="22"/>
          <w:lang w:bidi="ar-SA"/>
        </w:rPr>
      </w:pPr>
      <w:r w:rsidRPr="00836A85">
        <w:rPr>
          <w:rFonts w:ascii="Brandon Grotesque Regular" w:eastAsiaTheme="minorEastAsia" w:hAnsi="Brandon Grotesque Regular" w:cstheme="minorHAnsi"/>
          <w:color w:val="000000" w:themeColor="text1"/>
          <w:sz w:val="22"/>
          <w:szCs w:val="22"/>
          <w:lang w:bidi="ar-SA"/>
        </w:rPr>
        <w:t xml:space="preserve">We are proud to give back to the local community through either financial contributions or volunteering. The Pepper Giving Committee is responsible for empowering employees to donate and allocates resources to our four programs: Big G, Medium G, Small G, and Volunteering Opportunities.   </w:t>
      </w:r>
    </w:p>
    <w:p w14:paraId="1B27D904" w14:textId="05F8BC83" w:rsidR="00FF4791" w:rsidRPr="00836A85" w:rsidRDefault="00FF4791" w:rsidP="00836A85">
      <w:pPr>
        <w:spacing w:before="60" w:after="60" w:line="240" w:lineRule="auto"/>
        <w:rPr>
          <w:rFonts w:ascii="Brandon Grotesque Regular" w:eastAsiaTheme="minorEastAsia" w:hAnsi="Brandon Grotesque Regular" w:cstheme="minorHAnsi"/>
          <w:color w:val="000000" w:themeColor="text1"/>
          <w:sz w:val="22"/>
          <w:szCs w:val="22"/>
          <w:lang w:bidi="ar-SA"/>
        </w:rPr>
      </w:pPr>
      <w:r w:rsidRPr="00836A85">
        <w:rPr>
          <w:rFonts w:ascii="Brandon Grotesque Regular" w:eastAsiaTheme="minorEastAsia" w:hAnsi="Brandon Grotesque Regular" w:cstheme="minorHAnsi"/>
          <w:color w:val="000000" w:themeColor="text1"/>
          <w:sz w:val="22"/>
          <w:szCs w:val="22"/>
          <w:lang w:bidi="ar-SA"/>
        </w:rPr>
        <w:t xml:space="preserve">In 2025 we began a new “Big G”  partnership with </w:t>
      </w:r>
      <w:proofErr w:type="spellStart"/>
      <w:r w:rsidRPr="00836A85">
        <w:rPr>
          <w:rFonts w:ascii="Brandon Grotesque Regular" w:eastAsiaTheme="minorEastAsia" w:hAnsi="Brandon Grotesque Regular" w:cstheme="minorHAnsi"/>
          <w:color w:val="000000" w:themeColor="text1"/>
          <w:sz w:val="22"/>
          <w:szCs w:val="22"/>
          <w:lang w:bidi="ar-SA"/>
        </w:rPr>
        <w:t>StreetSmart</w:t>
      </w:r>
      <w:proofErr w:type="spellEnd"/>
      <w:r w:rsidRPr="00836A85">
        <w:rPr>
          <w:rFonts w:ascii="Brandon Grotesque Regular" w:eastAsiaTheme="minorEastAsia" w:hAnsi="Brandon Grotesque Regular" w:cstheme="minorHAnsi"/>
          <w:color w:val="000000" w:themeColor="text1"/>
          <w:sz w:val="22"/>
          <w:szCs w:val="22"/>
          <w:lang w:bidi="ar-SA"/>
        </w:rPr>
        <w:t xml:space="preserve"> Australia and through our employee nominated Medium G we supported a wide range of charities, including Stewart House, Doggierescue.com, and headspace.  And </w:t>
      </w:r>
      <w:r w:rsidR="0072001E" w:rsidRPr="00836A85">
        <w:rPr>
          <w:rFonts w:ascii="Brandon Grotesque Regular" w:eastAsiaTheme="minorEastAsia" w:hAnsi="Brandon Grotesque Regular" w:cstheme="minorHAnsi"/>
          <w:color w:val="000000" w:themeColor="text1"/>
          <w:sz w:val="22"/>
          <w:szCs w:val="22"/>
          <w:lang w:bidi="ar-SA"/>
        </w:rPr>
        <w:t>it’s</w:t>
      </w:r>
      <w:r w:rsidRPr="00836A85">
        <w:rPr>
          <w:rFonts w:ascii="Brandon Grotesque Regular" w:eastAsiaTheme="minorEastAsia" w:hAnsi="Brandon Grotesque Regular" w:cstheme="minorHAnsi"/>
          <w:color w:val="000000" w:themeColor="text1"/>
          <w:sz w:val="22"/>
          <w:szCs w:val="22"/>
          <w:lang w:bidi="ar-SA"/>
        </w:rPr>
        <w:t xml:space="preserve"> not just abo</w:t>
      </w:r>
      <w:r w:rsidR="0072001E" w:rsidRPr="00836A85">
        <w:rPr>
          <w:rFonts w:ascii="Brandon Grotesque Regular" w:eastAsiaTheme="minorEastAsia" w:hAnsi="Brandon Grotesque Regular" w:cstheme="minorHAnsi"/>
          <w:color w:val="000000" w:themeColor="text1"/>
          <w:sz w:val="22"/>
          <w:szCs w:val="22"/>
          <w:lang w:bidi="ar-SA"/>
        </w:rPr>
        <w:t>ut</w:t>
      </w:r>
      <w:r w:rsidRPr="00836A85">
        <w:rPr>
          <w:rFonts w:ascii="Brandon Grotesque Regular" w:eastAsiaTheme="minorEastAsia" w:hAnsi="Brandon Grotesque Regular" w:cstheme="minorHAnsi"/>
          <w:color w:val="000000" w:themeColor="text1"/>
          <w:sz w:val="22"/>
          <w:szCs w:val="22"/>
          <w:lang w:bidi="ar-SA"/>
        </w:rPr>
        <w:t xml:space="preserve"> giving – it</w:t>
      </w:r>
      <w:r w:rsidR="00B51E6B" w:rsidRPr="00836A85">
        <w:rPr>
          <w:rFonts w:ascii="Brandon Grotesque Regular" w:eastAsiaTheme="minorEastAsia" w:hAnsi="Brandon Grotesque Regular" w:cstheme="minorHAnsi"/>
          <w:color w:val="000000" w:themeColor="text1"/>
          <w:sz w:val="22"/>
          <w:szCs w:val="22"/>
          <w:lang w:bidi="ar-SA"/>
        </w:rPr>
        <w:t>’s</w:t>
      </w:r>
      <w:r w:rsidRPr="00836A85">
        <w:rPr>
          <w:rFonts w:ascii="Brandon Grotesque Regular" w:eastAsiaTheme="minorEastAsia" w:hAnsi="Brandon Grotesque Regular" w:cstheme="minorHAnsi"/>
          <w:color w:val="000000" w:themeColor="text1"/>
          <w:sz w:val="22"/>
          <w:szCs w:val="22"/>
          <w:lang w:bidi="ar-SA"/>
        </w:rPr>
        <w:t xml:space="preserve"> about doing – and our </w:t>
      </w:r>
      <w:r w:rsidR="00A5029D" w:rsidRPr="00836A85">
        <w:rPr>
          <w:rFonts w:ascii="Brandon Grotesque Regular" w:eastAsiaTheme="minorEastAsia" w:hAnsi="Brandon Grotesque Regular" w:cstheme="minorHAnsi"/>
          <w:color w:val="000000" w:themeColor="text1"/>
          <w:sz w:val="22"/>
          <w:szCs w:val="22"/>
          <w:lang w:bidi="ar-SA"/>
        </w:rPr>
        <w:t>employees</w:t>
      </w:r>
      <w:r w:rsidRPr="00836A85">
        <w:rPr>
          <w:rFonts w:ascii="Brandon Grotesque Regular" w:eastAsiaTheme="minorEastAsia" w:hAnsi="Brandon Grotesque Regular" w:cstheme="minorHAnsi"/>
          <w:color w:val="000000" w:themeColor="text1"/>
          <w:sz w:val="22"/>
          <w:szCs w:val="22"/>
          <w:lang w:bidi="ar-SA"/>
        </w:rPr>
        <w:t xml:space="preserve"> </w:t>
      </w:r>
      <w:r w:rsidR="00CF3ECE" w:rsidRPr="00836A85">
        <w:rPr>
          <w:rFonts w:ascii="Brandon Grotesque Regular" w:eastAsiaTheme="minorEastAsia" w:hAnsi="Brandon Grotesque Regular" w:cstheme="minorHAnsi"/>
          <w:color w:val="000000" w:themeColor="text1"/>
          <w:sz w:val="22"/>
          <w:szCs w:val="22"/>
          <w:lang w:bidi="ar-SA"/>
        </w:rPr>
        <w:t>gave back to their communities through Volunteer Days.</w:t>
      </w:r>
    </w:p>
    <w:p w14:paraId="7E07457F" w14:textId="165AF206" w:rsidR="00FF4791" w:rsidRPr="00836A85" w:rsidRDefault="00FF4791"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16152569" w14:textId="42332D12" w:rsidR="0077358A" w:rsidRDefault="00B6693A" w:rsidP="00836A85">
      <w:pPr>
        <w:spacing w:before="60" w:after="60" w:line="240" w:lineRule="auto"/>
        <w:rPr>
          <w:rFonts w:ascii="Brandon Grotesque Regular" w:eastAsiaTheme="minorEastAsia" w:hAnsi="Brandon Grotesque Regular" w:cstheme="minorHAnsi"/>
          <w:color w:val="000000" w:themeColor="text1"/>
          <w:sz w:val="22"/>
          <w:szCs w:val="22"/>
          <w:lang w:bidi="ar-SA"/>
        </w:rPr>
      </w:pPr>
      <w:r w:rsidRPr="00836A85">
        <w:rPr>
          <w:rFonts w:ascii="Brandon Grotesque Regular" w:eastAsiaTheme="minorEastAsia" w:hAnsi="Brandon Grotesque Regular" w:cstheme="minorHAnsi"/>
          <w:color w:val="000000" w:themeColor="text1"/>
          <w:sz w:val="22"/>
          <w:szCs w:val="22"/>
          <w:lang w:bidi="ar-SA"/>
        </w:rPr>
        <w:t xml:space="preserve">I will now </w:t>
      </w:r>
      <w:r w:rsidR="00A563CD" w:rsidRPr="00836A85">
        <w:rPr>
          <w:rFonts w:ascii="Brandon Grotesque Regular" w:eastAsiaTheme="minorEastAsia" w:hAnsi="Brandon Grotesque Regular" w:cstheme="minorHAnsi"/>
          <w:color w:val="000000" w:themeColor="text1"/>
          <w:sz w:val="22"/>
          <w:szCs w:val="22"/>
          <w:lang w:bidi="ar-SA"/>
        </w:rPr>
        <w:t>hand over to Therese to run through our financial performance before I close out with some comments, ahead of taking Q&amp;A.</w:t>
      </w:r>
    </w:p>
    <w:p w14:paraId="01AB5528" w14:textId="77777777" w:rsidR="00836A85" w:rsidRPr="00836A85" w:rsidRDefault="00836A85" w:rsidP="00836A85">
      <w:pPr>
        <w:spacing w:before="60" w:after="60" w:line="240" w:lineRule="auto"/>
        <w:rPr>
          <w:rFonts w:ascii="Brandon Grotesque Regular" w:eastAsiaTheme="minorEastAsia" w:hAnsi="Brandon Grotesque Regular" w:cstheme="minorHAnsi"/>
          <w:color w:val="000000" w:themeColor="text1"/>
          <w:sz w:val="22"/>
          <w:szCs w:val="22"/>
          <w:lang w:bidi="ar-SA"/>
        </w:rPr>
      </w:pPr>
    </w:p>
    <w:p w14:paraId="04AA527A" w14:textId="2BBFD2DC" w:rsidR="008B1D13" w:rsidRPr="00836A85" w:rsidRDefault="008B1D13"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cstheme="minorHAnsi"/>
          <w:caps/>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t>SLIDE number 12</w:t>
      </w:r>
    </w:p>
    <w:p w14:paraId="1AE626BA" w14:textId="77777777" w:rsidR="008B1D13" w:rsidRPr="00836A85" w:rsidRDefault="008B1D13" w:rsidP="00836A85">
      <w:pPr>
        <w:spacing w:before="60" w:after="60" w:line="240" w:lineRule="auto"/>
        <w:contextualSpacing/>
        <w:rPr>
          <w:rFonts w:ascii="Brandon Grotesque Regular" w:eastAsiaTheme="minorEastAsia" w:hAnsi="Brandon Grotesque Regular" w:cstheme="minorHAnsi"/>
          <w:color w:val="000000" w:themeColor="text1"/>
          <w:sz w:val="22"/>
          <w:szCs w:val="22"/>
          <w:lang w:bidi="ar-SA"/>
        </w:rPr>
      </w:pPr>
      <w:r w:rsidRPr="00836A85">
        <w:rPr>
          <w:rFonts w:ascii="Brandon Grotesque Regular" w:eastAsiaTheme="minorEastAsia" w:hAnsi="Brandon Grotesque Regular" w:cstheme="minorHAnsi"/>
          <w:color w:val="000000" w:themeColor="text1"/>
          <w:sz w:val="22"/>
          <w:szCs w:val="22"/>
          <w:lang w:bidi="ar-SA"/>
        </w:rPr>
        <w:t>Thank you, Mario, and good morning, everyone</w:t>
      </w:r>
    </w:p>
    <w:p w14:paraId="0A685FA0" w14:textId="77777777" w:rsidR="008B1D13" w:rsidRPr="00836A85" w:rsidRDefault="008B1D13" w:rsidP="00836A85">
      <w:pPr>
        <w:spacing w:before="60" w:after="60" w:line="240" w:lineRule="auto"/>
        <w:contextualSpacing/>
        <w:rPr>
          <w:rFonts w:ascii="Brandon Grotesque Regular" w:eastAsiaTheme="minorEastAsia" w:hAnsi="Brandon Grotesque Regular" w:cstheme="minorHAnsi"/>
          <w:color w:val="000000" w:themeColor="text1"/>
          <w:sz w:val="22"/>
          <w:szCs w:val="22"/>
          <w:lang w:bidi="ar-SA"/>
        </w:rPr>
      </w:pPr>
    </w:p>
    <w:p w14:paraId="61293D7D" w14:textId="77777777" w:rsidR="008B1D13" w:rsidRPr="00836A85" w:rsidRDefault="008B1D13" w:rsidP="00836A85">
      <w:pPr>
        <w:spacing w:before="60" w:after="60" w:line="240" w:lineRule="auto"/>
        <w:contextualSpacing/>
        <w:rPr>
          <w:rFonts w:ascii="Brandon Grotesque Regular" w:eastAsiaTheme="minorEastAsia" w:hAnsi="Brandon Grotesque Regular" w:cstheme="minorHAnsi"/>
          <w:color w:val="000000" w:themeColor="text1"/>
          <w:sz w:val="22"/>
          <w:szCs w:val="22"/>
          <w:lang w:bidi="ar-SA"/>
        </w:rPr>
      </w:pPr>
      <w:r w:rsidRPr="00836A85">
        <w:rPr>
          <w:rFonts w:ascii="Brandon Grotesque Regular" w:eastAsiaTheme="minorEastAsia" w:hAnsi="Brandon Grotesque Regular" w:cstheme="minorHAnsi"/>
          <w:color w:val="000000" w:themeColor="text1"/>
          <w:sz w:val="22"/>
          <w:szCs w:val="22"/>
          <w:lang w:bidi="ar-SA"/>
        </w:rPr>
        <w:t>As Mario has said, the business delivered strong outcomes across all key financial and operating performance metrics.</w:t>
      </w:r>
    </w:p>
    <w:p w14:paraId="0628BF61" w14:textId="77777777" w:rsidR="008B1D13" w:rsidRPr="00836A85" w:rsidRDefault="008B1D13" w:rsidP="00836A85">
      <w:pPr>
        <w:spacing w:before="60" w:after="60" w:line="240" w:lineRule="auto"/>
        <w:contextualSpacing/>
        <w:rPr>
          <w:rFonts w:ascii="Brandon Grotesque Regular" w:eastAsiaTheme="minorEastAsia" w:hAnsi="Brandon Grotesque Regular" w:cstheme="minorHAnsi"/>
          <w:color w:val="000000" w:themeColor="text1"/>
          <w:sz w:val="22"/>
          <w:szCs w:val="22"/>
          <w:lang w:bidi="ar-SA"/>
        </w:rPr>
      </w:pPr>
    </w:p>
    <w:p w14:paraId="64428CFB" w14:textId="77777777" w:rsidR="008B1D13" w:rsidRPr="00836A85" w:rsidRDefault="008B1D13" w:rsidP="00836A85">
      <w:pPr>
        <w:spacing w:before="60" w:after="60" w:line="240" w:lineRule="auto"/>
        <w:contextualSpacing/>
        <w:rPr>
          <w:rFonts w:ascii="Brandon Grotesque Regular" w:eastAsiaTheme="minorEastAsia" w:hAnsi="Brandon Grotesque Regular" w:cstheme="minorHAnsi"/>
          <w:color w:val="000000" w:themeColor="text1"/>
          <w:sz w:val="22"/>
          <w:szCs w:val="22"/>
          <w:lang w:bidi="ar-SA"/>
        </w:rPr>
      </w:pPr>
      <w:r w:rsidRPr="00836A85">
        <w:rPr>
          <w:rFonts w:ascii="Brandon Grotesque Regular" w:eastAsiaTheme="minorEastAsia" w:hAnsi="Brandon Grotesque Regular" w:cstheme="minorHAnsi"/>
          <w:color w:val="000000" w:themeColor="text1"/>
          <w:sz w:val="22"/>
          <w:szCs w:val="22"/>
          <w:lang w:bidi="ar-SA"/>
        </w:rPr>
        <w:t>Our record Originations of $10.3 billion drove the 14% increase in Total AUM – which closed at $21.8 billion.</w:t>
      </w:r>
    </w:p>
    <w:p w14:paraId="6827617B" w14:textId="77777777" w:rsidR="008B1D13" w:rsidRPr="00836A85" w:rsidRDefault="008B1D13" w:rsidP="00836A85">
      <w:pPr>
        <w:spacing w:before="60" w:after="60" w:line="240" w:lineRule="auto"/>
        <w:contextualSpacing/>
        <w:rPr>
          <w:rFonts w:ascii="Brandon Grotesque Regular" w:eastAsiaTheme="minorEastAsia" w:hAnsi="Brandon Grotesque Regular" w:cstheme="minorHAnsi"/>
          <w:color w:val="000000" w:themeColor="text1"/>
          <w:sz w:val="22"/>
          <w:szCs w:val="22"/>
          <w:lang w:bidi="ar-SA"/>
        </w:rPr>
      </w:pPr>
    </w:p>
    <w:p w14:paraId="49D3A5E4" w14:textId="77777777" w:rsidR="008B1D13" w:rsidRPr="00836A85" w:rsidRDefault="008B1D13" w:rsidP="00836A85">
      <w:pPr>
        <w:spacing w:before="60" w:after="60" w:line="240" w:lineRule="auto"/>
        <w:contextualSpacing/>
        <w:rPr>
          <w:rFonts w:ascii="Brandon Grotesque Regular" w:eastAsiaTheme="minorEastAsia" w:hAnsi="Brandon Grotesque Regular" w:cstheme="minorHAnsi"/>
          <w:color w:val="000000" w:themeColor="text1"/>
          <w:sz w:val="22"/>
          <w:szCs w:val="22"/>
          <w:lang w:bidi="ar-SA"/>
        </w:rPr>
      </w:pPr>
      <w:r w:rsidRPr="00836A85">
        <w:rPr>
          <w:rFonts w:ascii="Brandon Grotesque Regular" w:eastAsiaTheme="minorEastAsia" w:hAnsi="Brandon Grotesque Regular" w:cstheme="minorHAnsi"/>
          <w:color w:val="000000" w:themeColor="text1"/>
          <w:sz w:val="22"/>
          <w:szCs w:val="22"/>
          <w:lang w:bidi="ar-SA"/>
        </w:rPr>
        <w:t xml:space="preserve">Total Net Interest Margin improved by 8 basis points on PCP – as the benefit from our portfolio diversification strategy - with the strong NIM growth in Asset Finance - more than compensating for the year-on-year compression in Mortgages. Total Operating Income grew 1% on PCP. </w:t>
      </w:r>
    </w:p>
    <w:p w14:paraId="578FFF7B" w14:textId="77777777" w:rsidR="008B1D13" w:rsidRPr="00836A85" w:rsidRDefault="008B1D13" w:rsidP="00836A85">
      <w:pPr>
        <w:spacing w:before="60" w:after="60" w:line="240" w:lineRule="auto"/>
        <w:contextualSpacing/>
        <w:rPr>
          <w:rFonts w:ascii="Brandon Grotesque Regular" w:eastAsiaTheme="minorEastAsia" w:hAnsi="Brandon Grotesque Regular" w:cstheme="minorHAnsi"/>
          <w:color w:val="000000" w:themeColor="text1"/>
          <w:sz w:val="22"/>
          <w:szCs w:val="22"/>
          <w:lang w:bidi="ar-SA"/>
        </w:rPr>
      </w:pPr>
    </w:p>
    <w:p w14:paraId="4A4901DA" w14:textId="5B7748F2" w:rsidR="008B1D13" w:rsidRPr="00836A85" w:rsidRDefault="008B1D13" w:rsidP="00836A85">
      <w:pPr>
        <w:spacing w:before="60" w:after="60" w:line="240" w:lineRule="auto"/>
        <w:contextualSpacing/>
        <w:rPr>
          <w:rFonts w:ascii="Brandon Grotesque Regular" w:eastAsiaTheme="minorEastAsia" w:hAnsi="Brandon Grotesque Regular" w:cstheme="minorHAnsi"/>
          <w:color w:val="000000" w:themeColor="text1"/>
          <w:sz w:val="22"/>
          <w:szCs w:val="22"/>
          <w:lang w:bidi="ar-SA"/>
        </w:rPr>
      </w:pPr>
      <w:r w:rsidRPr="00836A85">
        <w:rPr>
          <w:rFonts w:ascii="Brandon Grotesque Regular" w:eastAsiaTheme="minorEastAsia" w:hAnsi="Brandon Grotesque Regular" w:cstheme="minorHAnsi"/>
          <w:color w:val="000000" w:themeColor="text1"/>
          <w:sz w:val="22"/>
          <w:szCs w:val="22"/>
          <w:lang w:bidi="ar-SA"/>
        </w:rPr>
        <w:t>This income growth and our ongoing ability to drive scale economies and managed costs, delivered positive jaws – and our Cost to Income Ratio at 50.5% improved 4% on PCP. Pro-forma NPAT closed at $104.8 million an increase of 7% on 2024.</w:t>
      </w:r>
    </w:p>
    <w:p w14:paraId="6DD8DECF" w14:textId="77777777" w:rsidR="008B1D13" w:rsidRPr="00836A85" w:rsidRDefault="008B1D13" w:rsidP="00836A85">
      <w:pPr>
        <w:spacing w:before="60" w:after="60" w:line="240" w:lineRule="auto"/>
        <w:contextualSpacing/>
        <w:rPr>
          <w:rFonts w:ascii="Brandon Grotesque Regular" w:eastAsiaTheme="minorEastAsia" w:hAnsi="Brandon Grotesque Regular" w:cstheme="minorHAnsi"/>
          <w:color w:val="000000" w:themeColor="text1"/>
          <w:sz w:val="22"/>
          <w:szCs w:val="22"/>
          <w:lang w:bidi="ar-SA"/>
        </w:rPr>
      </w:pPr>
    </w:p>
    <w:p w14:paraId="33E8AA81" w14:textId="77777777" w:rsidR="008B1D13" w:rsidRPr="00836A85" w:rsidRDefault="008B1D13" w:rsidP="00836A85">
      <w:pPr>
        <w:spacing w:before="60" w:after="60" w:line="240" w:lineRule="auto"/>
        <w:contextualSpacing/>
        <w:rPr>
          <w:rFonts w:ascii="Brandon Grotesque Regular" w:eastAsiaTheme="minorEastAsia" w:hAnsi="Brandon Grotesque Regular" w:cstheme="minorHAnsi"/>
          <w:color w:val="000000" w:themeColor="text1"/>
          <w:sz w:val="22"/>
          <w:szCs w:val="22"/>
          <w:lang w:bidi="ar-SA"/>
        </w:rPr>
      </w:pPr>
      <w:r w:rsidRPr="00836A85">
        <w:rPr>
          <w:rFonts w:ascii="Brandon Grotesque Regular" w:eastAsiaTheme="minorEastAsia" w:hAnsi="Brandon Grotesque Regular" w:cstheme="minorHAnsi"/>
          <w:color w:val="000000" w:themeColor="text1"/>
          <w:sz w:val="22"/>
          <w:szCs w:val="22"/>
          <w:lang w:bidi="ar-SA"/>
        </w:rPr>
        <w:t>Turning now to the details, starting first with Net Interest Margins.</w:t>
      </w:r>
    </w:p>
    <w:p w14:paraId="7FE1E1B7" w14:textId="77777777" w:rsidR="008B1D13" w:rsidRPr="00836A85" w:rsidRDefault="008B1D13" w:rsidP="00836A85">
      <w:pPr>
        <w:spacing w:before="60" w:after="60" w:line="240" w:lineRule="auto"/>
        <w:contextualSpacing/>
        <w:rPr>
          <w:rFonts w:ascii="Brandon Grotesque Regular" w:eastAsiaTheme="minorEastAsia" w:hAnsi="Brandon Grotesque Regular" w:cstheme="minorHAnsi"/>
          <w:color w:val="000000" w:themeColor="text1"/>
          <w:sz w:val="22"/>
          <w:szCs w:val="22"/>
          <w:highlight w:val="yellow"/>
          <w:lang w:val="en-GB" w:bidi="ar-SA"/>
        </w:rPr>
      </w:pPr>
    </w:p>
    <w:p w14:paraId="14DE767C" w14:textId="77777777" w:rsidR="008B1D13" w:rsidRPr="00836A85" w:rsidRDefault="008B1D13"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b/>
          <w:bCs/>
          <w:caps/>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t>slide number 13</w:t>
      </w:r>
    </w:p>
    <w:p w14:paraId="08B9085B"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I have provided the year-on-year NIM walk in the appendices, so today I will focus on the half on half movement.</w:t>
      </w:r>
    </w:p>
    <w:p w14:paraId="3D8240A2"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48F65BD2" w14:textId="77777777" w:rsidR="008B1D13" w:rsidRPr="00836A85" w:rsidRDefault="008B1D13" w:rsidP="00836A85">
      <w:pPr>
        <w:spacing w:before="60" w:after="60" w:line="240" w:lineRule="auto"/>
        <w:rPr>
          <w:rFonts w:ascii="Brandon Grotesque Regular" w:eastAsiaTheme="minorEastAsia" w:hAnsi="Brandon Grotesque Regular" w:cstheme="minorHAnsi"/>
          <w:b/>
          <w:bCs/>
          <w:color w:val="000000" w:themeColor="text1"/>
          <w:sz w:val="22"/>
          <w:szCs w:val="22"/>
          <w:lang w:val="en-GB" w:bidi="ar-SA"/>
        </w:rPr>
      </w:pPr>
      <w:r w:rsidRPr="00836A85">
        <w:rPr>
          <w:rFonts w:ascii="Brandon Grotesque Regular" w:eastAsiaTheme="minorEastAsia" w:hAnsi="Brandon Grotesque Regular" w:cstheme="minorHAnsi"/>
          <w:b/>
          <w:bCs/>
          <w:color w:val="000000" w:themeColor="text1"/>
          <w:sz w:val="22"/>
          <w:szCs w:val="22"/>
          <w:lang w:val="en-GB" w:bidi="ar-SA"/>
        </w:rPr>
        <w:t>First to Mortgages:</w:t>
      </w:r>
    </w:p>
    <w:p w14:paraId="2E2D6061" w14:textId="77777777" w:rsidR="008B1D13" w:rsidRPr="00836A85" w:rsidRDefault="008B1D13" w:rsidP="00836A85">
      <w:pPr>
        <w:spacing w:before="60" w:after="60" w:line="240" w:lineRule="auto"/>
        <w:jc w:val="both"/>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Mortgage NIM, at 1.58% for second half 2025, increased by 7 basis points on the first half of the year, driven by:</w:t>
      </w:r>
    </w:p>
    <w:p w14:paraId="1DD741F5" w14:textId="77777777" w:rsidR="008B1D13" w:rsidRPr="00836A85" w:rsidRDefault="008B1D13" w:rsidP="00836A85">
      <w:pPr>
        <w:pStyle w:val="ListParagraph"/>
        <w:numPr>
          <w:ilvl w:val="0"/>
          <w:numId w:val="2"/>
        </w:numPr>
        <w:spacing w:before="60" w:after="60" w:line="240" w:lineRule="auto"/>
        <w:ind w:left="851" w:hanging="283"/>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improved funding </w:t>
      </w:r>
      <w:proofErr w:type="gramStart"/>
      <w:r w:rsidRPr="00836A85">
        <w:rPr>
          <w:rFonts w:ascii="Brandon Grotesque Regular" w:eastAsiaTheme="minorEastAsia" w:hAnsi="Brandon Grotesque Regular" w:cstheme="minorHAnsi"/>
          <w:color w:val="000000" w:themeColor="text1"/>
          <w:sz w:val="22"/>
          <w:szCs w:val="22"/>
          <w:lang w:val="en-GB" w:bidi="ar-SA"/>
        </w:rPr>
        <w:t>margins;</w:t>
      </w:r>
      <w:proofErr w:type="gramEnd"/>
    </w:p>
    <w:p w14:paraId="660A09E0" w14:textId="77777777" w:rsidR="008B1D13" w:rsidRPr="00836A85" w:rsidRDefault="008B1D13" w:rsidP="00836A85">
      <w:pPr>
        <w:pStyle w:val="ListParagraph"/>
        <w:numPr>
          <w:ilvl w:val="0"/>
          <w:numId w:val="2"/>
        </w:numPr>
        <w:spacing w:before="60" w:after="60" w:line="240" w:lineRule="auto"/>
        <w:ind w:left="851" w:hanging="283"/>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improved market </w:t>
      </w:r>
      <w:proofErr w:type="gramStart"/>
      <w:r w:rsidRPr="00836A85">
        <w:rPr>
          <w:rFonts w:ascii="Brandon Grotesque Regular" w:eastAsiaTheme="minorEastAsia" w:hAnsi="Brandon Grotesque Regular" w:cstheme="minorHAnsi"/>
          <w:color w:val="000000" w:themeColor="text1"/>
          <w:sz w:val="22"/>
          <w:szCs w:val="22"/>
          <w:lang w:val="en-GB" w:bidi="ar-SA"/>
        </w:rPr>
        <w:t>conditions;</w:t>
      </w:r>
      <w:proofErr w:type="gramEnd"/>
    </w:p>
    <w:p w14:paraId="2A29C738" w14:textId="77777777" w:rsidR="008B1D13" w:rsidRPr="00836A85" w:rsidRDefault="008B1D13" w:rsidP="00836A85">
      <w:pPr>
        <w:pStyle w:val="ListParagraph"/>
        <w:numPr>
          <w:ilvl w:val="0"/>
          <w:numId w:val="2"/>
        </w:numPr>
        <w:spacing w:before="60" w:after="60" w:line="240" w:lineRule="auto"/>
        <w:ind w:left="851" w:hanging="283"/>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the strengthening in consumer </w:t>
      </w:r>
      <w:proofErr w:type="gramStart"/>
      <w:r w:rsidRPr="00836A85">
        <w:rPr>
          <w:rFonts w:ascii="Brandon Grotesque Regular" w:eastAsiaTheme="minorEastAsia" w:hAnsi="Brandon Grotesque Regular" w:cstheme="minorHAnsi"/>
          <w:color w:val="000000" w:themeColor="text1"/>
          <w:sz w:val="22"/>
          <w:szCs w:val="22"/>
          <w:lang w:val="en-GB" w:bidi="ar-SA"/>
        </w:rPr>
        <w:t>confidence;</w:t>
      </w:r>
      <w:proofErr w:type="gramEnd"/>
    </w:p>
    <w:p w14:paraId="1FCC77F4" w14:textId="77777777" w:rsidR="008B1D13" w:rsidRPr="00836A85" w:rsidRDefault="008B1D13" w:rsidP="00836A85">
      <w:pPr>
        <w:pStyle w:val="ListParagraph"/>
        <w:numPr>
          <w:ilvl w:val="0"/>
          <w:numId w:val="2"/>
        </w:numPr>
        <w:spacing w:before="60" w:after="60" w:line="240" w:lineRule="auto"/>
        <w:ind w:left="851" w:hanging="283"/>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and stable </w:t>
      </w:r>
      <w:proofErr w:type="gramStart"/>
      <w:r w:rsidRPr="00836A85">
        <w:rPr>
          <w:rFonts w:ascii="Brandon Grotesque Regular" w:eastAsiaTheme="minorEastAsia" w:hAnsi="Brandon Grotesque Regular" w:cstheme="minorHAnsi"/>
          <w:color w:val="000000" w:themeColor="text1"/>
          <w:sz w:val="22"/>
          <w:szCs w:val="22"/>
          <w:lang w:val="en-GB" w:bidi="ar-SA"/>
        </w:rPr>
        <w:t>BBSW;</w:t>
      </w:r>
      <w:proofErr w:type="gramEnd"/>
      <w:r w:rsidRPr="00836A85">
        <w:rPr>
          <w:rFonts w:ascii="Brandon Grotesque Regular" w:eastAsiaTheme="minorEastAsia" w:hAnsi="Brandon Grotesque Regular" w:cstheme="minorHAnsi"/>
          <w:color w:val="000000" w:themeColor="text1"/>
          <w:sz w:val="22"/>
          <w:szCs w:val="22"/>
          <w:lang w:val="en-GB" w:bidi="ar-SA"/>
        </w:rPr>
        <w:t xml:space="preserve"> </w:t>
      </w:r>
    </w:p>
    <w:p w14:paraId="02227F7F" w14:textId="77777777" w:rsidR="008B1D13" w:rsidRPr="00836A85" w:rsidRDefault="008B1D13" w:rsidP="00836A85">
      <w:pPr>
        <w:spacing w:before="60" w:after="60" w:line="240" w:lineRule="auto"/>
        <w:ind w:left="568"/>
        <w:rPr>
          <w:rFonts w:ascii="Brandon Grotesque Regular" w:eastAsiaTheme="minorEastAsia" w:hAnsi="Brandon Grotesque Regular" w:cstheme="minorHAnsi"/>
          <w:color w:val="000000" w:themeColor="text1"/>
          <w:sz w:val="22"/>
          <w:szCs w:val="22"/>
          <w:lang w:val="en-GB" w:bidi="ar-SA"/>
        </w:rPr>
      </w:pPr>
    </w:p>
    <w:p w14:paraId="0081D2EE" w14:textId="4944477C"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These factors more than offset the compression in customer rates – which was primarily driven by product mix - given the strong growth in Prime –where Originations increased from $1.9 billion in the first half to $3.0 billion in the second half of the year.  Prime accounted for 74% of </w:t>
      </w:r>
      <w:r w:rsidR="001B203C" w:rsidRPr="00836A85">
        <w:rPr>
          <w:rFonts w:ascii="Brandon Grotesque Regular" w:eastAsiaTheme="minorEastAsia" w:hAnsi="Brandon Grotesque Regular" w:cstheme="minorHAnsi"/>
          <w:color w:val="000000" w:themeColor="text1"/>
          <w:sz w:val="22"/>
          <w:szCs w:val="22"/>
          <w:lang w:val="en-GB" w:bidi="ar-SA"/>
        </w:rPr>
        <w:t xml:space="preserve">the </w:t>
      </w:r>
      <w:r w:rsidRPr="00836A85">
        <w:rPr>
          <w:rFonts w:ascii="Brandon Grotesque Regular" w:eastAsiaTheme="minorEastAsia" w:hAnsi="Brandon Grotesque Regular" w:cstheme="minorHAnsi"/>
          <w:color w:val="000000" w:themeColor="text1"/>
          <w:sz w:val="22"/>
          <w:szCs w:val="22"/>
          <w:lang w:val="en-GB" w:bidi="ar-SA"/>
        </w:rPr>
        <w:t xml:space="preserve">total second half Mortgage Originations.  Over 2025 we also passed all RBA rate reductions onto our customers.  </w:t>
      </w:r>
    </w:p>
    <w:p w14:paraId="0F8592E3" w14:textId="77777777" w:rsidR="008B1D13" w:rsidRPr="00836A85" w:rsidRDefault="008B1D13" w:rsidP="00836A85">
      <w:pPr>
        <w:pStyle w:val="ListParagraph"/>
        <w:spacing w:before="60" w:after="60" w:line="240" w:lineRule="auto"/>
        <w:ind w:left="0"/>
        <w:rPr>
          <w:rFonts w:ascii="Brandon Grotesque Regular" w:eastAsiaTheme="minorEastAsia" w:hAnsi="Brandon Grotesque Regular" w:cstheme="minorHAnsi"/>
          <w:color w:val="000000" w:themeColor="text1"/>
          <w:sz w:val="22"/>
          <w:szCs w:val="22"/>
          <w:lang w:bidi="ar-SA"/>
        </w:rPr>
      </w:pPr>
    </w:p>
    <w:p w14:paraId="1260CF33"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b/>
          <w:bCs/>
          <w:color w:val="000000" w:themeColor="text1"/>
          <w:sz w:val="22"/>
          <w:szCs w:val="22"/>
          <w:lang w:val="en-GB" w:bidi="ar-SA"/>
        </w:rPr>
        <w:t xml:space="preserve">Now turning to Asset Finance:  </w:t>
      </w:r>
      <w:r w:rsidRPr="00836A85">
        <w:rPr>
          <w:rFonts w:ascii="Brandon Grotesque Regular" w:eastAsiaTheme="minorEastAsia" w:hAnsi="Brandon Grotesque Regular" w:cstheme="minorHAnsi"/>
          <w:color w:val="000000" w:themeColor="text1"/>
          <w:sz w:val="22"/>
          <w:szCs w:val="22"/>
          <w:lang w:val="en-GB" w:bidi="ar-SA"/>
        </w:rPr>
        <w:t>Asset Finance NIM improved versus both the first half of 2025 as well as second half of 2024.</w:t>
      </w:r>
    </w:p>
    <w:p w14:paraId="26F99BD8"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50DC81F8"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We closed second half 2025 at 2.96% - up 23 basis points on the prior half.  The growth in NIM was driven by:</w:t>
      </w:r>
    </w:p>
    <w:p w14:paraId="3672E49B" w14:textId="77777777" w:rsidR="008B1D13" w:rsidRPr="00836A85" w:rsidRDefault="008B1D13" w:rsidP="00836A85">
      <w:pPr>
        <w:pStyle w:val="ListParagraph"/>
        <w:numPr>
          <w:ilvl w:val="0"/>
          <w:numId w:val="2"/>
        </w:numPr>
        <w:spacing w:before="60" w:after="60" w:line="240" w:lineRule="auto"/>
        <w:ind w:left="851" w:hanging="283"/>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improved funding margins - which added 25 basis points; and</w:t>
      </w:r>
    </w:p>
    <w:p w14:paraId="70B8DC28" w14:textId="77777777" w:rsidR="008B1D13" w:rsidRPr="00836A85" w:rsidRDefault="008B1D13" w:rsidP="00836A85">
      <w:pPr>
        <w:pStyle w:val="ListParagraph"/>
        <w:numPr>
          <w:ilvl w:val="0"/>
          <w:numId w:val="2"/>
        </w:numPr>
        <w:spacing w:before="60" w:after="60" w:line="240" w:lineRule="auto"/>
        <w:ind w:left="851" w:hanging="283"/>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less volatility in swap rates.</w:t>
      </w:r>
    </w:p>
    <w:p w14:paraId="7EE2E02A"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60BEB25A"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These drivers were marginally offset by a </w:t>
      </w:r>
      <w:proofErr w:type="gramStart"/>
      <w:r w:rsidRPr="00836A85">
        <w:rPr>
          <w:rFonts w:ascii="Brandon Grotesque Regular" w:eastAsiaTheme="minorEastAsia" w:hAnsi="Brandon Grotesque Regular" w:cstheme="minorHAnsi"/>
          <w:color w:val="000000" w:themeColor="text1"/>
          <w:sz w:val="22"/>
          <w:szCs w:val="22"/>
          <w:lang w:val="en-GB" w:bidi="ar-SA"/>
        </w:rPr>
        <w:t>3 basis</w:t>
      </w:r>
      <w:proofErr w:type="gramEnd"/>
      <w:r w:rsidRPr="00836A85">
        <w:rPr>
          <w:rFonts w:ascii="Brandon Grotesque Regular" w:eastAsiaTheme="minorEastAsia" w:hAnsi="Brandon Grotesque Regular" w:cstheme="minorHAnsi"/>
          <w:color w:val="000000" w:themeColor="text1"/>
          <w:sz w:val="22"/>
          <w:szCs w:val="22"/>
          <w:lang w:val="en-GB" w:bidi="ar-SA"/>
        </w:rPr>
        <w:t xml:space="preserve"> points reduction in customer rates – which was mix driven as Novated Lease and Tier A customers were the highest contributors to overall Origination growth in Asset Finance.</w:t>
      </w:r>
    </w:p>
    <w:p w14:paraId="0ECD13B8"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6C7A3855"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Versus second half 2024 Asset Finance NIM improved by 38 basis points - driven by the significant improvement in funding margins. </w:t>
      </w:r>
    </w:p>
    <w:p w14:paraId="27D00174" w14:textId="77777777" w:rsidR="008B1D13" w:rsidRPr="00836A85" w:rsidRDefault="008B1D13" w:rsidP="00836A85">
      <w:pPr>
        <w:spacing w:before="60" w:after="60" w:line="240" w:lineRule="auto"/>
        <w:jc w:val="both"/>
        <w:rPr>
          <w:rFonts w:ascii="Brandon Grotesque Regular" w:eastAsiaTheme="minorEastAsia" w:hAnsi="Brandon Grotesque Regular" w:cstheme="minorHAnsi"/>
          <w:color w:val="000000" w:themeColor="text1"/>
          <w:sz w:val="22"/>
          <w:szCs w:val="22"/>
          <w:lang w:bidi="ar-SA"/>
        </w:rPr>
      </w:pPr>
    </w:p>
    <w:p w14:paraId="71D47A42" w14:textId="1E2F6A43"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The very strong performance in Asset Finance, which accounted for 39% of closing Lending AUM, supported Total NIM increasing 15 basis points to 2.13% in the second half of 2025 versus first half and by 10 basis points when compared </w:t>
      </w:r>
      <w:r w:rsidR="007948B1" w:rsidRPr="00836A85">
        <w:rPr>
          <w:rFonts w:ascii="Brandon Grotesque Regular" w:eastAsiaTheme="minorEastAsia" w:hAnsi="Brandon Grotesque Regular" w:cstheme="minorHAnsi"/>
          <w:color w:val="000000" w:themeColor="text1"/>
          <w:sz w:val="22"/>
          <w:szCs w:val="22"/>
          <w:lang w:val="en-GB" w:bidi="ar-SA"/>
        </w:rPr>
        <w:t>to</w:t>
      </w:r>
      <w:r w:rsidRPr="00836A85">
        <w:rPr>
          <w:rFonts w:ascii="Brandon Grotesque Regular" w:eastAsiaTheme="minorEastAsia" w:hAnsi="Brandon Grotesque Regular" w:cstheme="minorHAnsi"/>
          <w:color w:val="000000" w:themeColor="text1"/>
          <w:sz w:val="22"/>
          <w:szCs w:val="22"/>
          <w:lang w:val="en-GB" w:bidi="ar-SA"/>
        </w:rPr>
        <w:t xml:space="preserve"> second half 2024. </w:t>
      </w:r>
    </w:p>
    <w:p w14:paraId="7F631BE0"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183161C7"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Again, for completeness the annualised walk is included for you in the appendices to this presentation. </w:t>
      </w:r>
    </w:p>
    <w:p w14:paraId="3980DD72"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1FBC2333" w14:textId="1C0C3C5F"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Now turning to credit performance on slide 14</w:t>
      </w:r>
      <w:r w:rsidR="007948B1" w:rsidRPr="00836A85">
        <w:rPr>
          <w:rFonts w:ascii="Brandon Grotesque Regular" w:eastAsiaTheme="minorEastAsia" w:hAnsi="Brandon Grotesque Regular" w:cstheme="minorHAnsi"/>
          <w:color w:val="000000" w:themeColor="text1"/>
          <w:sz w:val="22"/>
          <w:szCs w:val="22"/>
          <w:lang w:val="en-GB" w:bidi="ar-SA"/>
        </w:rPr>
        <w:t>.</w:t>
      </w:r>
    </w:p>
    <w:p w14:paraId="0F9F2BA1" w14:textId="70289E49"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685979A1" w14:textId="77777777" w:rsidR="008B1D13" w:rsidRPr="00836A85" w:rsidRDefault="008B1D13"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b/>
          <w:bCs/>
          <w:caps/>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t>slide number 14</w:t>
      </w:r>
    </w:p>
    <w:p w14:paraId="5E553597"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Starting first with Loan Loss Expense movement:</w:t>
      </w:r>
    </w:p>
    <w:p w14:paraId="05F5D8B2" w14:textId="77777777" w:rsidR="008B1D13" w:rsidRPr="00836A85" w:rsidRDefault="008B1D13" w:rsidP="00836A85">
      <w:pPr>
        <w:autoSpaceDE w:val="0"/>
        <w:autoSpaceDN w:val="0"/>
        <w:adjustRightInd w:val="0"/>
        <w:spacing w:before="60" w:after="60" w:line="240" w:lineRule="auto"/>
        <w:rPr>
          <w:rFonts w:ascii="Brandon Grotesque Regular" w:hAnsi="Brandon Grotesque Regular"/>
          <w:sz w:val="22"/>
          <w:szCs w:val="22"/>
        </w:rPr>
      </w:pPr>
    </w:p>
    <w:p w14:paraId="4386DB49" w14:textId="6CD3C859" w:rsidR="008B1D13" w:rsidRPr="00836A85" w:rsidRDefault="008B1D13" w:rsidP="00836A85">
      <w:pPr>
        <w:autoSpaceDE w:val="0"/>
        <w:autoSpaceDN w:val="0"/>
        <w:adjustRightInd w:val="0"/>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 xml:space="preserve">Over 2025 we completed a detailed review of the models used to determine expected credit losses to ensure modelling was commensurate with market practices. We wanted to embed developments in data and analytical predictability </w:t>
      </w:r>
      <w:proofErr w:type="gramStart"/>
      <w:r w:rsidRPr="00836A85">
        <w:rPr>
          <w:rFonts w:ascii="Brandon Grotesque Regular" w:hAnsi="Brandon Grotesque Regular"/>
          <w:sz w:val="22"/>
          <w:szCs w:val="22"/>
        </w:rPr>
        <w:t>and also</w:t>
      </w:r>
      <w:proofErr w:type="gramEnd"/>
      <w:r w:rsidRPr="00836A85">
        <w:rPr>
          <w:rFonts w:ascii="Brandon Grotesque Regular" w:hAnsi="Brandon Grotesque Regular"/>
          <w:sz w:val="22"/>
          <w:szCs w:val="22"/>
        </w:rPr>
        <w:t xml:space="preserve"> reflect portfolio growth, changes in borrower profile as well as </w:t>
      </w:r>
      <w:r w:rsidR="001B203C" w:rsidRPr="00836A85">
        <w:rPr>
          <w:rFonts w:ascii="Brandon Grotesque Regular" w:hAnsi="Brandon Grotesque Regular"/>
          <w:sz w:val="22"/>
          <w:szCs w:val="22"/>
        </w:rPr>
        <w:t xml:space="preserve">the </w:t>
      </w:r>
      <w:r w:rsidRPr="00836A85">
        <w:rPr>
          <w:rFonts w:ascii="Brandon Grotesque Regular" w:hAnsi="Brandon Grotesque Regular"/>
          <w:sz w:val="22"/>
          <w:szCs w:val="22"/>
        </w:rPr>
        <w:t xml:space="preserve">new products that have been launched.  </w:t>
      </w:r>
    </w:p>
    <w:p w14:paraId="27976952" w14:textId="77777777" w:rsidR="008B1D13" w:rsidRPr="00836A85" w:rsidRDefault="008B1D13" w:rsidP="00836A85">
      <w:pPr>
        <w:autoSpaceDE w:val="0"/>
        <w:autoSpaceDN w:val="0"/>
        <w:adjustRightInd w:val="0"/>
        <w:spacing w:before="60" w:after="60" w:line="240" w:lineRule="auto"/>
        <w:rPr>
          <w:rFonts w:ascii="Brandon Grotesque Regular" w:hAnsi="Brandon Grotesque Regular"/>
          <w:sz w:val="22"/>
          <w:szCs w:val="22"/>
        </w:rPr>
      </w:pPr>
    </w:p>
    <w:p w14:paraId="76B0348B" w14:textId="77777777" w:rsidR="008B1D13" w:rsidRPr="00836A85" w:rsidRDefault="008B1D13" w:rsidP="00836A85">
      <w:pPr>
        <w:autoSpaceDE w:val="0"/>
        <w:autoSpaceDN w:val="0"/>
        <w:adjustRightInd w:val="0"/>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 xml:space="preserve">This, in combination with 2025 portfolio movements, resulted in an increase in provisions recognised and </w:t>
      </w:r>
      <w:r w:rsidRPr="00836A85">
        <w:rPr>
          <w:rFonts w:ascii="Brandon Grotesque Regular" w:hAnsi="Brandon Grotesque Regular"/>
          <w:b/>
          <w:bCs/>
          <w:sz w:val="22"/>
          <w:szCs w:val="22"/>
        </w:rPr>
        <w:t>Loan Loss Expense</w:t>
      </w:r>
      <w:r w:rsidRPr="00836A85">
        <w:rPr>
          <w:rFonts w:ascii="Brandon Grotesque Regular" w:hAnsi="Brandon Grotesque Regular"/>
          <w:sz w:val="22"/>
          <w:szCs w:val="22"/>
        </w:rPr>
        <w:t xml:space="preserve"> at $90.6 million was 31% higher than PCP. </w:t>
      </w:r>
    </w:p>
    <w:p w14:paraId="60DCBCD1" w14:textId="77777777" w:rsidR="008B1D13" w:rsidRPr="00836A85" w:rsidRDefault="008B1D13" w:rsidP="00836A85">
      <w:pPr>
        <w:autoSpaceDE w:val="0"/>
        <w:autoSpaceDN w:val="0"/>
        <w:adjustRightInd w:val="0"/>
        <w:spacing w:before="60" w:after="60" w:line="240" w:lineRule="auto"/>
        <w:rPr>
          <w:rFonts w:ascii="Brandon Grotesque Regular" w:hAnsi="Brandon Grotesque Regular"/>
          <w:sz w:val="22"/>
          <w:szCs w:val="22"/>
        </w:rPr>
      </w:pPr>
    </w:p>
    <w:p w14:paraId="0F4495BD" w14:textId="77777777" w:rsidR="008B1D13" w:rsidRPr="00836A85" w:rsidRDefault="008B1D13" w:rsidP="00836A85">
      <w:pPr>
        <w:autoSpaceDE w:val="0"/>
        <w:autoSpaceDN w:val="0"/>
        <w:adjustRightInd w:val="0"/>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The increase in Loan Loss Expense was also driven in part by the strong growth in</w:t>
      </w:r>
      <w:r w:rsidRPr="00836A85">
        <w:rPr>
          <w:rFonts w:ascii="Brandon Grotesque Regular" w:hAnsi="Brandon Grotesque Regular"/>
          <w:b/>
          <w:bCs/>
          <w:sz w:val="22"/>
          <w:szCs w:val="22"/>
        </w:rPr>
        <w:t xml:space="preserve"> Asset Finance </w:t>
      </w:r>
      <w:proofErr w:type="gramStart"/>
      <w:r w:rsidRPr="00836A85">
        <w:rPr>
          <w:rFonts w:ascii="Brandon Grotesque Regular" w:hAnsi="Brandon Grotesque Regular"/>
          <w:b/>
          <w:bCs/>
          <w:sz w:val="22"/>
          <w:szCs w:val="22"/>
        </w:rPr>
        <w:t>AUM</w:t>
      </w:r>
      <w:proofErr w:type="gramEnd"/>
      <w:r w:rsidRPr="00836A85">
        <w:rPr>
          <w:rFonts w:ascii="Brandon Grotesque Regular" w:hAnsi="Brandon Grotesque Regular"/>
          <w:b/>
          <w:bCs/>
          <w:sz w:val="22"/>
          <w:szCs w:val="22"/>
        </w:rPr>
        <w:t xml:space="preserve"> </w:t>
      </w:r>
      <w:r w:rsidRPr="00836A85">
        <w:rPr>
          <w:rFonts w:ascii="Brandon Grotesque Regular" w:hAnsi="Brandon Grotesque Regular"/>
          <w:sz w:val="22"/>
          <w:szCs w:val="22"/>
        </w:rPr>
        <w:t xml:space="preserve">which was up 14% on PCP, closing  2025 at $6.5 billion. Further, Loan Loss Expense was also impacted  by the mix of assets in our Whole Loan Sales - which were skewed to Prime Mortgages - resulting in a </w:t>
      </w:r>
      <w:r w:rsidRPr="00836A85">
        <w:rPr>
          <w:rFonts w:ascii="Brandon Grotesque Regular" w:hAnsi="Brandon Grotesque Regular"/>
          <w:b/>
          <w:bCs/>
          <w:sz w:val="22"/>
          <w:szCs w:val="22"/>
        </w:rPr>
        <w:t>lower Collective provision release</w:t>
      </w:r>
      <w:r w:rsidRPr="00836A85">
        <w:rPr>
          <w:rFonts w:ascii="Brandon Grotesque Regular" w:hAnsi="Brandon Grotesque Regular"/>
          <w:sz w:val="22"/>
          <w:szCs w:val="22"/>
        </w:rPr>
        <w:t xml:space="preserve"> in 2025 vs PCP. </w:t>
      </w:r>
    </w:p>
    <w:p w14:paraId="55313825" w14:textId="77777777" w:rsidR="008B1D13" w:rsidRPr="00836A85" w:rsidRDefault="008B1D13" w:rsidP="00836A85">
      <w:pPr>
        <w:autoSpaceDE w:val="0"/>
        <w:autoSpaceDN w:val="0"/>
        <w:adjustRightInd w:val="0"/>
        <w:spacing w:before="60" w:after="60" w:line="240" w:lineRule="auto"/>
        <w:rPr>
          <w:rFonts w:ascii="Brandon Grotesque Regular" w:hAnsi="Brandon Grotesque Regular"/>
          <w:sz w:val="22"/>
          <w:szCs w:val="22"/>
        </w:rPr>
      </w:pPr>
    </w:p>
    <w:p w14:paraId="5C43BE07" w14:textId="77777777" w:rsidR="008B1D13" w:rsidRPr="00836A85" w:rsidRDefault="008B1D13" w:rsidP="00836A85">
      <w:pPr>
        <w:autoSpaceDE w:val="0"/>
        <w:autoSpaceDN w:val="0"/>
        <w:adjustRightInd w:val="0"/>
        <w:spacing w:before="60" w:after="60" w:line="240" w:lineRule="auto"/>
        <w:rPr>
          <w:rFonts w:ascii="Brandon Grotesque Regular" w:hAnsi="Brandon Grotesque Regular"/>
          <w:sz w:val="22"/>
          <w:szCs w:val="22"/>
        </w:rPr>
      </w:pPr>
      <w:r w:rsidRPr="00836A85">
        <w:rPr>
          <w:rFonts w:ascii="Brandon Grotesque Regular" w:hAnsi="Brandon Grotesque Regular"/>
          <w:b/>
          <w:bCs/>
          <w:sz w:val="22"/>
          <w:szCs w:val="22"/>
        </w:rPr>
        <w:t>Mortgage Loan Loss Expense</w:t>
      </w:r>
      <w:r w:rsidRPr="00836A85">
        <w:rPr>
          <w:rFonts w:ascii="Brandon Grotesque Regular" w:hAnsi="Brandon Grotesque Regular"/>
          <w:sz w:val="22"/>
          <w:szCs w:val="22"/>
        </w:rPr>
        <w:t xml:space="preserve"> increased by $6.0 million versus prior year.  While in both years, the movement in Collective Loan Loss Expense was a release of provision, the overall Collective expense increased by $5.7 million, as the provision release from Whole Loan Sales was partially offset by the growth in Originations and AUM.  Specific increased by $0.3 million reflecting normal portfolio movement. </w:t>
      </w:r>
    </w:p>
    <w:p w14:paraId="2DDE0389"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393A7550" w14:textId="77777777" w:rsidR="008B1D13" w:rsidRPr="00836A85" w:rsidRDefault="008B1D13"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Asset Finance Loan Loss Expense at $90.4 million increased by $15.3 million on PCP, key drivers being:</w:t>
      </w:r>
    </w:p>
    <w:p w14:paraId="12B3500A" w14:textId="77777777" w:rsidR="008B1D13" w:rsidRPr="00836A85" w:rsidRDefault="008B1D13" w:rsidP="00836A85">
      <w:pPr>
        <w:pStyle w:val="ListParagraph"/>
        <w:numPr>
          <w:ilvl w:val="0"/>
          <w:numId w:val="5"/>
        </w:numPr>
        <w:spacing w:before="60" w:after="60" w:line="240" w:lineRule="auto"/>
        <w:rPr>
          <w:rFonts w:ascii="Brandon Grotesque Regular" w:hAnsi="Brandon Grotesque Regular" w:cs="Arial"/>
          <w:sz w:val="22"/>
          <w:szCs w:val="22"/>
        </w:rPr>
      </w:pPr>
      <w:r w:rsidRPr="00836A85">
        <w:rPr>
          <w:rFonts w:ascii="Brandon Grotesque Regular" w:hAnsi="Brandon Grotesque Regular" w:cs="Arial"/>
          <w:sz w:val="22"/>
          <w:szCs w:val="22"/>
        </w:rPr>
        <w:t xml:space="preserve">the increase in AUM which grew by +14% year on year, as I have already </w:t>
      </w:r>
      <w:proofErr w:type="gramStart"/>
      <w:r w:rsidRPr="00836A85">
        <w:rPr>
          <w:rFonts w:ascii="Brandon Grotesque Regular" w:hAnsi="Brandon Grotesque Regular" w:cs="Arial"/>
          <w:sz w:val="22"/>
          <w:szCs w:val="22"/>
        </w:rPr>
        <w:t>noted;</w:t>
      </w:r>
      <w:proofErr w:type="gramEnd"/>
    </w:p>
    <w:p w14:paraId="0412382C" w14:textId="77777777" w:rsidR="008B1D13" w:rsidRPr="00836A85" w:rsidRDefault="008B1D13" w:rsidP="00836A85">
      <w:pPr>
        <w:pStyle w:val="ListParagraph"/>
        <w:numPr>
          <w:ilvl w:val="0"/>
          <w:numId w:val="5"/>
        </w:numPr>
        <w:spacing w:before="60" w:after="60" w:line="240" w:lineRule="auto"/>
        <w:rPr>
          <w:rFonts w:ascii="Brandon Grotesque Regular" w:hAnsi="Brandon Grotesque Regular" w:cs="Arial"/>
          <w:sz w:val="22"/>
          <w:szCs w:val="22"/>
        </w:rPr>
      </w:pPr>
      <w:r w:rsidRPr="00836A85">
        <w:rPr>
          <w:rFonts w:ascii="Brandon Grotesque Regular" w:hAnsi="Brandon Grotesque Regular" w:cs="Arial"/>
          <w:sz w:val="22"/>
          <w:szCs w:val="22"/>
        </w:rPr>
        <w:t xml:space="preserve">the flow through of the model recalibration </w:t>
      </w:r>
      <w:proofErr w:type="gramStart"/>
      <w:r w:rsidRPr="00836A85">
        <w:rPr>
          <w:rFonts w:ascii="Brandon Grotesque Regular" w:hAnsi="Brandon Grotesque Regular" w:cs="Arial"/>
          <w:sz w:val="22"/>
          <w:szCs w:val="22"/>
        </w:rPr>
        <w:t>undertaken;</w:t>
      </w:r>
      <w:proofErr w:type="gramEnd"/>
    </w:p>
    <w:p w14:paraId="4A01ADBA" w14:textId="77777777" w:rsidR="008B1D13" w:rsidRPr="00836A85" w:rsidRDefault="008B1D13" w:rsidP="00836A85">
      <w:pPr>
        <w:pStyle w:val="ListParagraph"/>
        <w:numPr>
          <w:ilvl w:val="0"/>
          <w:numId w:val="5"/>
        </w:numPr>
        <w:spacing w:before="60" w:after="60" w:line="240" w:lineRule="auto"/>
        <w:rPr>
          <w:rFonts w:ascii="Brandon Grotesque Regular" w:hAnsi="Brandon Grotesque Regular" w:cs="Arial"/>
          <w:sz w:val="22"/>
          <w:szCs w:val="22"/>
        </w:rPr>
      </w:pPr>
      <w:r w:rsidRPr="00836A85">
        <w:rPr>
          <w:rFonts w:ascii="Brandon Grotesque Regular" w:hAnsi="Brandon Grotesque Regular" w:cs="Arial"/>
          <w:sz w:val="22"/>
          <w:szCs w:val="22"/>
        </w:rPr>
        <w:t>and significantly lower provision release from Whole Loan Sales.  Asset Finance Whole Loan Sales in 2025 were half a billion versus $1.0 billion in 2024.</w:t>
      </w:r>
    </w:p>
    <w:p w14:paraId="3D7285D2" w14:textId="77777777" w:rsidR="008B1D13" w:rsidRPr="00836A85" w:rsidRDefault="008B1D13" w:rsidP="00836A85">
      <w:pPr>
        <w:pStyle w:val="ListParagraph"/>
        <w:spacing w:before="60" w:after="60" w:line="240" w:lineRule="auto"/>
        <w:ind w:left="360"/>
        <w:rPr>
          <w:rFonts w:ascii="Brandon Grotesque Regular" w:hAnsi="Brandon Grotesque Regular" w:cs="Arial"/>
          <w:sz w:val="22"/>
          <w:szCs w:val="22"/>
        </w:rPr>
      </w:pPr>
      <w:r w:rsidRPr="00836A85">
        <w:rPr>
          <w:rFonts w:ascii="Brandon Grotesque Regular" w:hAnsi="Brandon Grotesque Regular" w:cs="Arial"/>
          <w:sz w:val="22"/>
          <w:szCs w:val="22"/>
        </w:rPr>
        <w:t xml:space="preserve"> </w:t>
      </w:r>
    </w:p>
    <w:p w14:paraId="6D84AD8A" w14:textId="77777777" w:rsidR="008B1D13" w:rsidRPr="00836A85" w:rsidRDefault="008B1D13"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lastRenderedPageBreak/>
        <w:t>The increase in Asset Finance Collective was partially offset by lower Specific as late-stage arrears continue to improve following the spike in insolvencies experienced in late 2023 and first half 2024.</w:t>
      </w:r>
    </w:p>
    <w:p w14:paraId="160288B0" w14:textId="77777777" w:rsidR="008B1D13" w:rsidRPr="00836A85" w:rsidRDefault="008B1D13" w:rsidP="00836A85">
      <w:pPr>
        <w:spacing w:before="60" w:after="60" w:line="240" w:lineRule="auto"/>
        <w:rPr>
          <w:rFonts w:ascii="Brandon Grotesque Regular" w:hAnsi="Brandon Grotesque Regular"/>
          <w:sz w:val="22"/>
          <w:szCs w:val="22"/>
        </w:rPr>
      </w:pPr>
    </w:p>
    <w:p w14:paraId="7A427DA8" w14:textId="77777777" w:rsidR="008B1D13" w:rsidRPr="00836A85" w:rsidRDefault="008B1D13" w:rsidP="00836A85">
      <w:pPr>
        <w:spacing w:before="60" w:after="60" w:line="240" w:lineRule="auto"/>
        <w:rPr>
          <w:rFonts w:ascii="Brandon Grotesque Regular" w:hAnsi="Brandon Grotesque Regular"/>
          <w:sz w:val="22"/>
          <w:szCs w:val="22"/>
        </w:rPr>
      </w:pPr>
      <w:proofErr w:type="gramStart"/>
      <w:r w:rsidRPr="00836A85">
        <w:rPr>
          <w:rFonts w:ascii="Brandon Grotesque Regular" w:hAnsi="Brandon Grotesque Regular"/>
          <w:sz w:val="22"/>
          <w:szCs w:val="22"/>
        </w:rPr>
        <w:t>So</w:t>
      </w:r>
      <w:proofErr w:type="gramEnd"/>
      <w:r w:rsidRPr="00836A85">
        <w:rPr>
          <w:rFonts w:ascii="Brandon Grotesque Regular" w:hAnsi="Brandon Grotesque Regular"/>
          <w:sz w:val="22"/>
          <w:szCs w:val="22"/>
        </w:rPr>
        <w:t xml:space="preserve"> moving to Credit Provisions on slide 15.</w:t>
      </w:r>
    </w:p>
    <w:p w14:paraId="63DB9F4C" w14:textId="614D4A6F" w:rsidR="008B1D13" w:rsidRPr="00836A85" w:rsidRDefault="008B1D13" w:rsidP="00836A85">
      <w:pPr>
        <w:spacing w:before="60" w:after="60" w:line="240" w:lineRule="auto"/>
        <w:rPr>
          <w:rFonts w:ascii="Brandon Grotesque Regular" w:hAnsi="Brandon Grotesque Regular"/>
          <w:sz w:val="22"/>
          <w:szCs w:val="22"/>
        </w:rPr>
      </w:pPr>
    </w:p>
    <w:p w14:paraId="7B7B1DD1" w14:textId="77777777" w:rsidR="008B1D13" w:rsidRPr="00836A85" w:rsidRDefault="008B1D13"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b/>
          <w:bCs/>
          <w:caps/>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t>slide number 15</w:t>
      </w:r>
    </w:p>
    <w:p w14:paraId="2797A513" w14:textId="77777777" w:rsidR="008B1D13" w:rsidRPr="00836A85" w:rsidRDefault="008B1D13" w:rsidP="00836A85">
      <w:pPr>
        <w:pStyle w:val="BodyBullet"/>
        <w:numPr>
          <w:ilvl w:val="0"/>
          <w:numId w:val="0"/>
        </w:numPr>
        <w:spacing w:line="240" w:lineRule="auto"/>
        <w:rPr>
          <w:rFonts w:ascii="Brandon Grotesque Regular" w:hAnsi="Brandon Grotesque Regular"/>
          <w:color w:val="000000" w:themeColor="text1"/>
          <w:sz w:val="22"/>
          <w:szCs w:val="22"/>
        </w:rPr>
      </w:pPr>
      <w:r w:rsidRPr="00836A85">
        <w:rPr>
          <w:rFonts w:ascii="Brandon Grotesque Regular" w:hAnsi="Brandon Grotesque Regular"/>
          <w:sz w:val="22"/>
          <w:szCs w:val="22"/>
        </w:rPr>
        <w:t xml:space="preserve">The </w:t>
      </w:r>
      <w:r w:rsidRPr="00836A85">
        <w:rPr>
          <w:rFonts w:ascii="Brandon Grotesque Regular" w:hAnsi="Brandon Grotesque Regular"/>
          <w:color w:val="000000" w:themeColor="text1"/>
          <w:sz w:val="22"/>
          <w:szCs w:val="22"/>
        </w:rPr>
        <w:t xml:space="preserve">movements in Loss Expense resulting in Total Loan Loss provisions at $138.6 million increasing by $13.9 million or 11%, versus June 2025 and by $21.7 million versus December 2024.  </w:t>
      </w:r>
    </w:p>
    <w:p w14:paraId="7FA48E02" w14:textId="77777777" w:rsidR="008B1D13" w:rsidRPr="00836A85" w:rsidRDefault="008B1D13" w:rsidP="00836A85">
      <w:pPr>
        <w:pStyle w:val="BodyBullet"/>
        <w:numPr>
          <w:ilvl w:val="0"/>
          <w:numId w:val="0"/>
        </w:numPr>
        <w:spacing w:line="240" w:lineRule="auto"/>
        <w:rPr>
          <w:rFonts w:ascii="Brandon Grotesque Regular" w:hAnsi="Brandon Grotesque Regular"/>
          <w:color w:val="000000" w:themeColor="text1"/>
          <w:sz w:val="22"/>
          <w:szCs w:val="22"/>
        </w:rPr>
      </w:pPr>
    </w:p>
    <w:p w14:paraId="66E8E733" w14:textId="77777777" w:rsidR="008B1D13" w:rsidRPr="00836A85" w:rsidRDefault="008B1D13"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color w:val="000000" w:themeColor="text1"/>
          <w:sz w:val="22"/>
          <w:szCs w:val="22"/>
          <w:lang w:val="en-GB"/>
        </w:rPr>
        <w:t>Asset Finance provisions increased by $12.3 million in total versus first half 2025 and by $24.5 million versus December 2024.  Specific provision reduced by $1.7 million second half 2025 vs prior half and held in line with December 2024.  The increase in Collective provisions followed the key movements which I have already covered – being the growth in Asset Finance AUM, lower Whole Loan Sales, and model recalibration</w:t>
      </w:r>
      <w:r w:rsidRPr="00836A85">
        <w:rPr>
          <w:rFonts w:ascii="Brandon Grotesque Regular" w:hAnsi="Brandon Grotesque Regular"/>
          <w:sz w:val="22"/>
          <w:szCs w:val="22"/>
        </w:rPr>
        <w:t xml:space="preserve">. </w:t>
      </w:r>
    </w:p>
    <w:p w14:paraId="0FFA6EC4" w14:textId="77777777" w:rsidR="008B1D13" w:rsidRPr="00836A85" w:rsidRDefault="008B1D13" w:rsidP="00836A85">
      <w:pPr>
        <w:spacing w:before="60" w:after="60" w:line="240" w:lineRule="auto"/>
        <w:rPr>
          <w:rFonts w:ascii="Brandon Grotesque Regular" w:hAnsi="Brandon Grotesque Regular"/>
          <w:sz w:val="22"/>
          <w:szCs w:val="22"/>
        </w:rPr>
      </w:pPr>
    </w:p>
    <w:p w14:paraId="15780383" w14:textId="77777777" w:rsidR="008B1D13" w:rsidRPr="00836A85" w:rsidRDefault="008B1D13"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Mortgage provisions closed December 2025 at $18.4 million in total -$1.6 million up on prior half and down $4.3 million on December 2024 – given the increase in Whole Loan Sales over the year and the mix impact from Prime Originations growth.</w:t>
      </w:r>
    </w:p>
    <w:p w14:paraId="382B75CF" w14:textId="77777777" w:rsidR="008B1D13" w:rsidRPr="00836A85" w:rsidRDefault="008B1D13" w:rsidP="00836A85">
      <w:pPr>
        <w:spacing w:before="60" w:after="60" w:line="240" w:lineRule="auto"/>
        <w:rPr>
          <w:rFonts w:ascii="Brandon Grotesque Regular" w:hAnsi="Brandon Grotesque Regular"/>
          <w:sz w:val="22"/>
          <w:szCs w:val="22"/>
        </w:rPr>
      </w:pPr>
    </w:p>
    <w:p w14:paraId="76534908" w14:textId="77777777" w:rsidR="008B1D13" w:rsidRPr="00836A85" w:rsidRDefault="008B1D13" w:rsidP="00836A85">
      <w:pPr>
        <w:pStyle w:val="BodyBullet"/>
        <w:numPr>
          <w:ilvl w:val="0"/>
          <w:numId w:val="0"/>
        </w:numPr>
        <w:spacing w:line="240" w:lineRule="auto"/>
        <w:rPr>
          <w:rFonts w:ascii="Brandon Grotesque Regular" w:hAnsi="Brandon Grotesque Regular"/>
          <w:sz w:val="22"/>
          <w:szCs w:val="22"/>
        </w:rPr>
      </w:pPr>
      <w:r w:rsidRPr="00836A85">
        <w:rPr>
          <w:rFonts w:ascii="Brandon Grotesque Regular" w:hAnsi="Brandon Grotesque Regular"/>
          <w:sz w:val="22"/>
          <w:szCs w:val="22"/>
        </w:rPr>
        <w:t>At the end of the year, we continue to hold $4.8 million in Post Model Overlay - $2.0 million against Mortgages and $2.8 million against Asset Finance.</w:t>
      </w:r>
    </w:p>
    <w:p w14:paraId="7425B901" w14:textId="77777777" w:rsidR="008B1D13" w:rsidRPr="00836A85" w:rsidRDefault="008B1D13" w:rsidP="00836A85">
      <w:pPr>
        <w:pStyle w:val="BodyBullet"/>
        <w:numPr>
          <w:ilvl w:val="0"/>
          <w:numId w:val="0"/>
        </w:numPr>
        <w:spacing w:line="240" w:lineRule="auto"/>
        <w:rPr>
          <w:rFonts w:ascii="Brandon Grotesque Regular" w:hAnsi="Brandon Grotesque Regular"/>
          <w:sz w:val="22"/>
          <w:szCs w:val="22"/>
        </w:rPr>
      </w:pPr>
    </w:p>
    <w:p w14:paraId="66375A5D" w14:textId="77777777" w:rsidR="008B1D13" w:rsidRPr="00836A85" w:rsidRDefault="008B1D13" w:rsidP="00836A85">
      <w:pPr>
        <w:pStyle w:val="BodyBullet"/>
        <w:numPr>
          <w:ilvl w:val="0"/>
          <w:numId w:val="0"/>
        </w:numPr>
        <w:spacing w:line="240" w:lineRule="auto"/>
        <w:rPr>
          <w:rFonts w:ascii="Brandon Grotesque Regular" w:hAnsi="Brandon Grotesque Regular"/>
          <w:color w:val="000000" w:themeColor="text1"/>
          <w:sz w:val="22"/>
          <w:szCs w:val="22"/>
        </w:rPr>
      </w:pPr>
      <w:r w:rsidRPr="00836A85">
        <w:rPr>
          <w:rFonts w:ascii="Brandon Grotesque Regular" w:hAnsi="Brandon Grotesque Regular"/>
          <w:sz w:val="22"/>
          <w:szCs w:val="22"/>
        </w:rPr>
        <w:t xml:space="preserve">Our </w:t>
      </w:r>
      <w:r w:rsidRPr="00836A85">
        <w:rPr>
          <w:rFonts w:ascii="Brandon Grotesque Regular" w:hAnsi="Brandon Grotesque Regular"/>
          <w:color w:val="000000" w:themeColor="text1"/>
          <w:sz w:val="22"/>
          <w:szCs w:val="22"/>
        </w:rPr>
        <w:t>Coverage ratio remains strong at 0.83% of Lending AUM at year end close, up from 0.79% June 2025,</w:t>
      </w:r>
    </w:p>
    <w:p w14:paraId="74929D7D" w14:textId="77777777" w:rsidR="008B1D13" w:rsidRPr="00836A85" w:rsidRDefault="008B1D13" w:rsidP="00836A85">
      <w:pPr>
        <w:spacing w:before="60" w:after="60" w:line="240" w:lineRule="auto"/>
        <w:rPr>
          <w:rFonts w:ascii="Brandon Grotesque Regular" w:hAnsi="Brandon Grotesque Regular"/>
          <w:sz w:val="22"/>
          <w:szCs w:val="22"/>
        </w:rPr>
      </w:pPr>
    </w:p>
    <w:p w14:paraId="37B0C058" w14:textId="77777777" w:rsidR="008B1D13" w:rsidRPr="00836A85" w:rsidRDefault="008B1D13" w:rsidP="00836A85">
      <w:pPr>
        <w:spacing w:before="60" w:after="60" w:line="240" w:lineRule="auto"/>
        <w:rPr>
          <w:rFonts w:ascii="Brandon Grotesque Regular" w:hAnsi="Brandon Grotesque Regular"/>
          <w:b/>
          <w:bCs/>
          <w:sz w:val="22"/>
          <w:szCs w:val="22"/>
          <w:lang w:val="en-GB"/>
        </w:rPr>
      </w:pPr>
      <w:r w:rsidRPr="00836A85">
        <w:rPr>
          <w:rFonts w:ascii="Brandon Grotesque Regular" w:hAnsi="Brandon Grotesque Regular"/>
          <w:b/>
          <w:bCs/>
          <w:sz w:val="22"/>
          <w:szCs w:val="22"/>
          <w:lang w:val="en-GB"/>
        </w:rPr>
        <w:t xml:space="preserve">Turning now to FTE and Expenses.  </w:t>
      </w:r>
    </w:p>
    <w:p w14:paraId="26948897" w14:textId="77777777" w:rsidR="008B1D13" w:rsidRPr="00836A85" w:rsidRDefault="008B1D13" w:rsidP="00836A85">
      <w:pPr>
        <w:spacing w:before="60" w:after="60" w:line="240" w:lineRule="auto"/>
        <w:rPr>
          <w:rFonts w:ascii="Brandon Grotesque Regular" w:hAnsi="Brandon Grotesque Regular"/>
          <w:sz w:val="22"/>
          <w:szCs w:val="22"/>
        </w:rPr>
      </w:pPr>
    </w:p>
    <w:p w14:paraId="2B48C0FA" w14:textId="77777777" w:rsidR="008B1D13" w:rsidRPr="00836A85" w:rsidRDefault="008B1D13"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b/>
          <w:bCs/>
          <w:caps/>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t>slide number 16</w:t>
      </w:r>
    </w:p>
    <w:p w14:paraId="67879916" w14:textId="77777777" w:rsidR="008B1D13" w:rsidRPr="00836A85" w:rsidRDefault="008B1D13"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 xml:space="preserve">Versus December 2024 -  Sales and Credit FTE increased 9% – in support of the 47% increase in Originations delivered for the year. </w:t>
      </w:r>
    </w:p>
    <w:p w14:paraId="5808D5CE" w14:textId="77777777" w:rsidR="008B1D13" w:rsidRPr="00836A85" w:rsidRDefault="008B1D13" w:rsidP="00836A85">
      <w:pPr>
        <w:spacing w:before="60" w:after="60" w:line="240" w:lineRule="auto"/>
        <w:rPr>
          <w:rFonts w:ascii="Brandon Grotesque Regular" w:hAnsi="Brandon Grotesque Regular"/>
          <w:sz w:val="22"/>
          <w:szCs w:val="22"/>
        </w:rPr>
      </w:pPr>
    </w:p>
    <w:p w14:paraId="65FF207E" w14:textId="77777777" w:rsidR="008B1D13" w:rsidRPr="00836A85" w:rsidRDefault="008B1D13"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Adjusting for the increase in Sales and Credit FTE, total FTE was flat December on December, and Core FTE reduced by 3% over the same corresponding period.  FTE efficiencies continued to be derived through the ongoing increase in automation, given scaled technology, and through the targeted application of AI.</w:t>
      </w:r>
    </w:p>
    <w:p w14:paraId="078E67C1" w14:textId="77777777" w:rsidR="008B1D13" w:rsidRPr="00836A85" w:rsidRDefault="008B1D13" w:rsidP="00836A85">
      <w:pPr>
        <w:spacing w:before="60" w:after="60" w:line="240" w:lineRule="auto"/>
        <w:rPr>
          <w:rFonts w:ascii="Brandon Grotesque Regular" w:hAnsi="Brandon Grotesque Regular"/>
          <w:sz w:val="22"/>
          <w:szCs w:val="22"/>
        </w:rPr>
      </w:pPr>
    </w:p>
    <w:p w14:paraId="7D2F12C1" w14:textId="77777777" w:rsidR="008B1D13" w:rsidRPr="00836A85" w:rsidRDefault="008B1D13"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 xml:space="preserve">In terms of expenses – we continued to demonstrate our cost discipline, and how we are scaled for growth. </w:t>
      </w:r>
    </w:p>
    <w:p w14:paraId="11EF666F" w14:textId="77777777" w:rsidR="008B1D13" w:rsidRPr="00836A85" w:rsidRDefault="008B1D13" w:rsidP="00836A85">
      <w:pPr>
        <w:spacing w:before="60" w:after="60" w:line="240" w:lineRule="auto"/>
        <w:rPr>
          <w:rFonts w:ascii="Brandon Grotesque Regular" w:hAnsi="Brandon Grotesque Regular"/>
          <w:sz w:val="22"/>
          <w:szCs w:val="22"/>
        </w:rPr>
      </w:pPr>
    </w:p>
    <w:p w14:paraId="28396E97" w14:textId="77777777" w:rsidR="008B1D13" w:rsidRPr="00836A85" w:rsidRDefault="008B1D13"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 xml:space="preserve">On a Pro-forma basis, Total Expenses of $242.0 million decreased by $4.7 million - or 2%, on PCP.  </w:t>
      </w:r>
    </w:p>
    <w:p w14:paraId="3E546E86" w14:textId="77777777" w:rsidR="008B1D13" w:rsidRPr="00836A85" w:rsidRDefault="008B1D13" w:rsidP="00836A85">
      <w:pPr>
        <w:pStyle w:val="ListParagraph"/>
        <w:widowControl w:val="0"/>
        <w:numPr>
          <w:ilvl w:val="0"/>
          <w:numId w:val="3"/>
        </w:numPr>
        <w:tabs>
          <w:tab w:val="left" w:pos="3931"/>
        </w:tabs>
        <w:autoSpaceDE w:val="0"/>
        <w:autoSpaceDN w:val="0"/>
        <w:spacing w:before="60" w:after="60" w:line="240" w:lineRule="auto"/>
        <w:ind w:left="360"/>
        <w:contextualSpacing w:val="0"/>
        <w:rPr>
          <w:rFonts w:ascii="Brandon Grotesque Regular" w:hAnsi="Brandon Grotesque Regular" w:cs="Arial"/>
          <w:sz w:val="22"/>
          <w:szCs w:val="22"/>
        </w:rPr>
      </w:pPr>
      <w:r w:rsidRPr="00836A85">
        <w:rPr>
          <w:rFonts w:ascii="Brandon Grotesque Regular" w:hAnsi="Brandon Grotesque Regular" w:cs="Arial"/>
          <w:sz w:val="22"/>
          <w:szCs w:val="22"/>
        </w:rPr>
        <w:t xml:space="preserve">Employee benefit expense increased 5% versus 2024 reflecting higher Sales and Credit FTE given Originations growth, and underlying salary and wage inflation. </w:t>
      </w:r>
    </w:p>
    <w:p w14:paraId="4820D216" w14:textId="7AE4DC66" w:rsidR="008B1D13" w:rsidRPr="00836A85" w:rsidRDefault="008B1D13" w:rsidP="00836A85">
      <w:pPr>
        <w:pStyle w:val="ListParagraph"/>
        <w:widowControl w:val="0"/>
        <w:numPr>
          <w:ilvl w:val="0"/>
          <w:numId w:val="3"/>
        </w:numPr>
        <w:tabs>
          <w:tab w:val="left" w:pos="3931"/>
        </w:tabs>
        <w:autoSpaceDE w:val="0"/>
        <w:autoSpaceDN w:val="0"/>
        <w:spacing w:before="60" w:after="60" w:line="240" w:lineRule="auto"/>
        <w:ind w:left="360"/>
        <w:contextualSpacing w:val="0"/>
        <w:rPr>
          <w:rFonts w:ascii="Brandon Grotesque Regular" w:hAnsi="Brandon Grotesque Regular" w:cs="Arial"/>
          <w:sz w:val="22"/>
          <w:szCs w:val="22"/>
        </w:rPr>
      </w:pPr>
      <w:r w:rsidRPr="00836A85">
        <w:rPr>
          <w:rFonts w:ascii="Brandon Grotesque Regular" w:hAnsi="Brandon Grotesque Regular" w:cs="Arial"/>
          <w:sz w:val="22"/>
          <w:szCs w:val="22"/>
        </w:rPr>
        <w:t xml:space="preserve">Marketing expense decreased by 4% year on year given the initial phase of the new sponsorship </w:t>
      </w:r>
      <w:r w:rsidR="001B203C" w:rsidRPr="00836A85">
        <w:rPr>
          <w:rFonts w:ascii="Brandon Grotesque Regular" w:hAnsi="Brandon Grotesque Regular" w:cs="Arial"/>
          <w:sz w:val="22"/>
          <w:szCs w:val="22"/>
        </w:rPr>
        <w:t>engagement</w:t>
      </w:r>
      <w:r w:rsidRPr="00836A85">
        <w:rPr>
          <w:rFonts w:ascii="Brandon Grotesque Regular" w:hAnsi="Brandon Grotesque Regular" w:cs="Arial"/>
          <w:sz w:val="22"/>
          <w:szCs w:val="22"/>
        </w:rPr>
        <w:t xml:space="preserve">, which we reported in the second half of 2024. </w:t>
      </w:r>
    </w:p>
    <w:p w14:paraId="2E2873CE" w14:textId="41D2595B" w:rsidR="008B1D13" w:rsidRPr="00836A85" w:rsidRDefault="008B1D13" w:rsidP="00836A85">
      <w:pPr>
        <w:pStyle w:val="ListParagraph"/>
        <w:widowControl w:val="0"/>
        <w:numPr>
          <w:ilvl w:val="0"/>
          <w:numId w:val="3"/>
        </w:numPr>
        <w:tabs>
          <w:tab w:val="left" w:pos="3931"/>
        </w:tabs>
        <w:autoSpaceDE w:val="0"/>
        <w:autoSpaceDN w:val="0"/>
        <w:spacing w:before="60" w:after="60" w:line="240" w:lineRule="auto"/>
        <w:ind w:left="360"/>
        <w:contextualSpacing w:val="0"/>
        <w:rPr>
          <w:rFonts w:ascii="Brandon Grotesque Regular" w:hAnsi="Brandon Grotesque Regular" w:cs="Arial"/>
          <w:sz w:val="22"/>
          <w:szCs w:val="22"/>
        </w:rPr>
      </w:pPr>
      <w:r w:rsidRPr="00836A85">
        <w:rPr>
          <w:rFonts w:ascii="Brandon Grotesque Regular" w:hAnsi="Brandon Grotesque Regular" w:cs="Arial"/>
          <w:sz w:val="22"/>
          <w:szCs w:val="22"/>
        </w:rPr>
        <w:t>Technology expense increased 7%, as expenses shifted in part to operating from capitalised.   This saw Depreciation and amortisation decline 16% on PCP.</w:t>
      </w:r>
    </w:p>
    <w:p w14:paraId="60EF6932" w14:textId="77777777" w:rsidR="008B1D13" w:rsidRPr="00836A85" w:rsidRDefault="008B1D13" w:rsidP="00836A85">
      <w:pPr>
        <w:pStyle w:val="ListParagraph"/>
        <w:widowControl w:val="0"/>
        <w:numPr>
          <w:ilvl w:val="0"/>
          <w:numId w:val="3"/>
        </w:numPr>
        <w:tabs>
          <w:tab w:val="left" w:pos="3931"/>
        </w:tabs>
        <w:autoSpaceDE w:val="0"/>
        <w:autoSpaceDN w:val="0"/>
        <w:spacing w:before="60" w:after="60" w:line="240" w:lineRule="auto"/>
        <w:ind w:left="360"/>
        <w:contextualSpacing w:val="0"/>
        <w:rPr>
          <w:rFonts w:ascii="Brandon Grotesque Regular" w:hAnsi="Brandon Grotesque Regular" w:cs="Arial"/>
          <w:sz w:val="22"/>
          <w:szCs w:val="22"/>
        </w:rPr>
      </w:pPr>
      <w:r w:rsidRPr="00836A85">
        <w:rPr>
          <w:rFonts w:ascii="Brandon Grotesque Regular" w:hAnsi="Brandon Grotesque Regular" w:cs="Arial"/>
          <w:sz w:val="22"/>
          <w:szCs w:val="22"/>
        </w:rPr>
        <w:lastRenderedPageBreak/>
        <w:t>Corporate interest expense declined by $6.7 million following debt repayment and improved BBSY; and</w:t>
      </w:r>
    </w:p>
    <w:p w14:paraId="5BA38851" w14:textId="77777777" w:rsidR="008B1D13" w:rsidRPr="00836A85" w:rsidRDefault="008B1D13" w:rsidP="00836A85">
      <w:pPr>
        <w:pStyle w:val="ListParagraph"/>
        <w:widowControl w:val="0"/>
        <w:numPr>
          <w:ilvl w:val="0"/>
          <w:numId w:val="3"/>
        </w:numPr>
        <w:tabs>
          <w:tab w:val="left" w:pos="3931"/>
        </w:tabs>
        <w:autoSpaceDE w:val="0"/>
        <w:autoSpaceDN w:val="0"/>
        <w:spacing w:before="60" w:after="60" w:line="240" w:lineRule="auto"/>
        <w:ind w:left="360"/>
        <w:contextualSpacing w:val="0"/>
        <w:rPr>
          <w:rFonts w:ascii="Brandon Grotesque Regular" w:hAnsi="Brandon Grotesque Regular" w:cs="Arial"/>
          <w:sz w:val="22"/>
          <w:szCs w:val="22"/>
        </w:rPr>
      </w:pPr>
      <w:r w:rsidRPr="00836A85">
        <w:rPr>
          <w:rFonts w:ascii="Brandon Grotesque Regular" w:hAnsi="Brandon Grotesque Regular" w:cs="Arial"/>
          <w:sz w:val="22"/>
          <w:szCs w:val="22"/>
        </w:rPr>
        <w:t xml:space="preserve">All Other expenses, including impairment, general and admin, decreased by 6% year on year. </w:t>
      </w:r>
    </w:p>
    <w:p w14:paraId="2BB16D82" w14:textId="77777777" w:rsidR="008B1D13" w:rsidRPr="00836A85" w:rsidRDefault="008B1D13" w:rsidP="00836A85">
      <w:pPr>
        <w:tabs>
          <w:tab w:val="left" w:pos="500"/>
        </w:tabs>
        <w:spacing w:before="60" w:after="60" w:line="240" w:lineRule="auto"/>
        <w:rPr>
          <w:rFonts w:ascii="Brandon Grotesque Regular" w:hAnsi="Brandon Grotesque Regular"/>
          <w:sz w:val="22"/>
          <w:szCs w:val="22"/>
        </w:rPr>
      </w:pPr>
    </w:p>
    <w:p w14:paraId="50C2E526" w14:textId="77777777" w:rsidR="008B1D13" w:rsidRPr="00836A85" w:rsidRDefault="008B1D13" w:rsidP="00836A85">
      <w:pPr>
        <w:tabs>
          <w:tab w:val="left" w:pos="500"/>
        </w:tabs>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 xml:space="preserve">Given both our Total Operating Income growth and expense reduction – we have delivered positive jaws with our Cost to Income ratio improving 4% on 2024, to close the year at 50.5%.  </w:t>
      </w:r>
    </w:p>
    <w:p w14:paraId="5FDDC33C" w14:textId="77777777" w:rsidR="008B1D13" w:rsidRPr="00836A85" w:rsidRDefault="008B1D13" w:rsidP="00836A85">
      <w:pPr>
        <w:spacing w:before="60" w:after="60" w:line="240" w:lineRule="auto"/>
        <w:rPr>
          <w:rFonts w:ascii="Brandon Grotesque Regular" w:hAnsi="Brandon Grotesque Regular"/>
          <w:sz w:val="22"/>
          <w:szCs w:val="22"/>
        </w:rPr>
      </w:pPr>
    </w:p>
    <w:p w14:paraId="5997CC3B" w14:textId="77777777" w:rsidR="008B1D13" w:rsidRPr="00836A85" w:rsidRDefault="008B1D13"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b/>
          <w:bCs/>
          <w:caps/>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t>slide number 17</w:t>
      </w:r>
    </w:p>
    <w:p w14:paraId="2D16DC76"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Most key movements in the P&amp;L have already been covered but to summarise versus PCP:</w:t>
      </w:r>
    </w:p>
    <w:p w14:paraId="61146E69" w14:textId="77777777" w:rsidR="008B1D13" w:rsidRPr="00836A85" w:rsidRDefault="008B1D13" w:rsidP="00836A85">
      <w:pPr>
        <w:spacing w:before="60" w:after="60" w:line="240" w:lineRule="auto"/>
        <w:ind w:left="360"/>
        <w:rPr>
          <w:rFonts w:ascii="Brandon Grotesque Regular" w:eastAsiaTheme="minorEastAsia" w:hAnsi="Brandon Grotesque Regular" w:cstheme="minorHAnsi"/>
          <w:color w:val="000000" w:themeColor="text1"/>
          <w:sz w:val="22"/>
          <w:szCs w:val="22"/>
          <w:lang w:val="en-GB" w:bidi="ar-SA"/>
        </w:rPr>
      </w:pPr>
    </w:p>
    <w:p w14:paraId="67DCA049" w14:textId="77777777" w:rsidR="008B1D13" w:rsidRPr="00836A85" w:rsidRDefault="008B1D13"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Total Net Interest Income for 2025 at $335.6 million was only 2% below 2024 driven in part by higher Whole Loan Sales  in the year - as Lending AUM and income is transferred to Servicing - and in part by mix given strong growth in products such as Prime Mortgages and Novated Lease.</w:t>
      </w:r>
    </w:p>
    <w:p w14:paraId="15FE112D" w14:textId="77777777" w:rsidR="008B1D13" w:rsidRPr="00836A85" w:rsidRDefault="008B1D13"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 xml:space="preserve"> </w:t>
      </w:r>
    </w:p>
    <w:p w14:paraId="4EE59A1A" w14:textId="3DBACC5A"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hAnsi="Brandon Grotesque Regular"/>
          <w:sz w:val="22"/>
          <w:szCs w:val="22"/>
        </w:rPr>
        <w:t>Higher Lending fees - given our record volume performance - plus the gain recognised on execution of a Whole Loan sale - offset the increase in volume-driven Lending expense and the increase in Loan Loss Expense</w:t>
      </w:r>
      <w:r w:rsidR="007948B1" w:rsidRPr="00836A85">
        <w:rPr>
          <w:rFonts w:ascii="Brandon Grotesque Regular" w:hAnsi="Brandon Grotesque Regular"/>
          <w:sz w:val="22"/>
          <w:szCs w:val="22"/>
        </w:rPr>
        <w:t>s</w:t>
      </w:r>
      <w:r w:rsidRPr="00836A85">
        <w:rPr>
          <w:rFonts w:ascii="Brandon Grotesque Regular" w:hAnsi="Brandon Grotesque Regular"/>
          <w:sz w:val="22"/>
          <w:szCs w:val="22"/>
        </w:rPr>
        <w:t xml:space="preserve"> which I have already covered.  As such, </w:t>
      </w:r>
      <w:r w:rsidRPr="00836A85">
        <w:rPr>
          <w:rFonts w:ascii="Brandon Grotesque Regular" w:eastAsiaTheme="minorEastAsia" w:hAnsi="Brandon Grotesque Regular" w:cstheme="minorHAnsi"/>
          <w:color w:val="000000" w:themeColor="text1"/>
          <w:sz w:val="22"/>
          <w:szCs w:val="22"/>
          <w:lang w:val="en-GB" w:bidi="ar-SA"/>
        </w:rPr>
        <w:t>Total Operating Income grew by 1%, versus PCP to $388.8 million.</w:t>
      </w:r>
    </w:p>
    <w:p w14:paraId="5955BE78"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4978F86E"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When coupled with our cost management – Pro-forma NPAT improved 7% to close 2025 at $104.8 million, with underlying profit – being Pro-forma Net Profit pre-Tax and Loan Loss Expense increasing by 13% year-over-year to $237.4 million.</w:t>
      </w:r>
    </w:p>
    <w:p w14:paraId="40DF70F2"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56FCDDB6"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Our Financial Metrics have been included for you on the next slide, so turning to capital management on slide 19.</w:t>
      </w:r>
    </w:p>
    <w:p w14:paraId="3DD27B3D"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6A6DC38F" w14:textId="77777777" w:rsidR="008B1D13" w:rsidRPr="00836A85" w:rsidRDefault="008B1D13"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b/>
          <w:bCs/>
          <w:caps/>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t>slide number 18</w:t>
      </w:r>
    </w:p>
    <w:p w14:paraId="0CFB0CCE" w14:textId="008242EF"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1626EAF2" w14:textId="77777777" w:rsidR="008B1D13" w:rsidRPr="00836A85" w:rsidRDefault="008B1D13"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b/>
          <w:bCs/>
          <w:caps/>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t>slide number 19</w:t>
      </w:r>
    </w:p>
    <w:p w14:paraId="65DCC84A" w14:textId="77777777" w:rsidR="008B1D13" w:rsidRPr="00836A85" w:rsidRDefault="008B1D13" w:rsidP="00836A85">
      <w:pPr>
        <w:pStyle w:val="Heading1"/>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In line with our capital management strategy, part of the cash released from Whole Loan Sales has been used to pay down debt, with $27.5 million of the Corporate Debt Facility repaid in the year and a further $40.0 million of the Medium-Term Note retired over 2025.  </w:t>
      </w:r>
    </w:p>
    <w:p w14:paraId="61FCB98A" w14:textId="77777777" w:rsidR="008B1D13" w:rsidRPr="00836A85" w:rsidRDefault="008B1D13" w:rsidP="00836A85">
      <w:pPr>
        <w:pStyle w:val="Heading1"/>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3766CA3C" w14:textId="583F9799" w:rsidR="008B1D13" w:rsidRPr="00836A85" w:rsidRDefault="008B1D13" w:rsidP="00836A85">
      <w:pPr>
        <w:pStyle w:val="Heading1"/>
        <w:spacing w:before="60" w:after="60" w:line="240" w:lineRule="auto"/>
        <w:rPr>
          <w:rFonts w:ascii="Brandon Grotesque Regular" w:eastAsiaTheme="minorEastAsia" w:hAnsi="Brandon Grotesque Regular" w:cstheme="minorHAnsi"/>
          <w:color w:val="000000" w:themeColor="text1"/>
          <w:sz w:val="22"/>
          <w:szCs w:val="22"/>
          <w:lang w:val="en-GB" w:bidi="ar-SA"/>
        </w:rPr>
      </w:pPr>
      <w:proofErr w:type="gramStart"/>
      <w:r w:rsidRPr="00836A85">
        <w:rPr>
          <w:rFonts w:ascii="Brandon Grotesque Regular" w:eastAsiaTheme="minorEastAsia" w:hAnsi="Brandon Grotesque Regular" w:cstheme="minorHAnsi"/>
          <w:color w:val="000000" w:themeColor="text1"/>
          <w:sz w:val="22"/>
          <w:szCs w:val="22"/>
          <w:lang w:val="en-GB" w:bidi="ar-SA"/>
        </w:rPr>
        <w:t>At</w:t>
      </w:r>
      <w:proofErr w:type="gramEnd"/>
      <w:r w:rsidRPr="00836A85">
        <w:rPr>
          <w:rFonts w:ascii="Brandon Grotesque Regular" w:eastAsiaTheme="minorEastAsia" w:hAnsi="Brandon Grotesque Regular" w:cstheme="minorHAnsi"/>
          <w:color w:val="000000" w:themeColor="text1"/>
          <w:sz w:val="22"/>
          <w:szCs w:val="22"/>
          <w:lang w:val="en-GB" w:bidi="ar-SA"/>
        </w:rPr>
        <w:t xml:space="preserve"> December the CDF was drawn to $97.5 million and the Medium-Term Note to $50.0 million, with available and undrawn corporate debt balance at $172.5 </w:t>
      </w:r>
      <w:r w:rsidR="007948B1" w:rsidRPr="00836A85">
        <w:rPr>
          <w:rFonts w:ascii="Brandon Grotesque Regular" w:eastAsiaTheme="minorEastAsia" w:hAnsi="Brandon Grotesque Regular" w:cstheme="minorHAnsi"/>
          <w:color w:val="000000" w:themeColor="text1"/>
          <w:sz w:val="22"/>
          <w:szCs w:val="22"/>
          <w:lang w:val="en-GB" w:bidi="ar-SA"/>
        </w:rPr>
        <w:t>million, we</w:t>
      </w:r>
      <w:r w:rsidRPr="00836A85">
        <w:rPr>
          <w:rFonts w:ascii="Brandon Grotesque Regular" w:eastAsiaTheme="minorEastAsia" w:hAnsi="Brandon Grotesque Regular" w:cstheme="minorHAnsi"/>
          <w:color w:val="000000" w:themeColor="text1"/>
          <w:sz w:val="22"/>
          <w:szCs w:val="22"/>
          <w:lang w:val="en-GB" w:bidi="ar-SA"/>
        </w:rPr>
        <w:t xml:space="preserve"> closed the year with unrestricted cash of $121.8 million. </w:t>
      </w:r>
    </w:p>
    <w:p w14:paraId="7D69373C"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4878F806" w14:textId="77777777" w:rsidR="008B1D13" w:rsidRPr="00836A85" w:rsidRDefault="008B1D13" w:rsidP="00836A85">
      <w:pPr>
        <w:pStyle w:val="Heading1"/>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lastRenderedPageBreak/>
        <w:t xml:space="preserve">Given the strength of our performance, we have also materially increased returns to our shareholders. The Board has declared a fully franked Final dividend for 2025 of 7.8 cents per share - 60.0% of the Pro-forma NPAT for the half. </w:t>
      </w:r>
    </w:p>
    <w:p w14:paraId="63CFE880" w14:textId="77777777" w:rsidR="008B1D13" w:rsidRPr="00836A85" w:rsidRDefault="008B1D13" w:rsidP="00836A85">
      <w:pPr>
        <w:pStyle w:val="Heading1"/>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3A176D0A" w14:textId="77777777" w:rsidR="008B1D13" w:rsidRPr="00836A85" w:rsidRDefault="008B1D13" w:rsidP="00836A85">
      <w:pPr>
        <w:pStyle w:val="Heading1"/>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When added to the fully franked Special dividend of 12.5 cents per share paid in July and the Interim dividend of 6.4 cents per share paid in October, we have paid or declared fully franked dividends of 26.7 cents per share, equating to $118.6 million being returned to Shareholders, in respect to 2025 performance outcomes.  This has delivered an annualised yield of 16.1%.</w:t>
      </w:r>
    </w:p>
    <w:p w14:paraId="2FBED9BF"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47B4484E"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Onto sources and uses of cash on slide 20.</w:t>
      </w:r>
    </w:p>
    <w:p w14:paraId="6A46C2F5"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7E9F0BE5" w14:textId="77777777" w:rsidR="008B1D13" w:rsidRPr="00836A85" w:rsidRDefault="008B1D13"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b/>
          <w:bCs/>
          <w:caps/>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t>slide number 20</w:t>
      </w:r>
    </w:p>
    <w:p w14:paraId="1D0B011D" w14:textId="77777777" w:rsidR="008B1D13" w:rsidRPr="00836A85" w:rsidRDefault="008B1D13" w:rsidP="00836A85">
      <w:pPr>
        <w:spacing w:before="60" w:after="60" w:line="240" w:lineRule="auto"/>
        <w:contextualSpacing/>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Given the level of cash that the business generates we have, over the year: </w:t>
      </w:r>
    </w:p>
    <w:p w14:paraId="4A3666C3" w14:textId="77777777" w:rsidR="008B1D13" w:rsidRPr="00836A85" w:rsidRDefault="008B1D13" w:rsidP="00836A85">
      <w:pPr>
        <w:pStyle w:val="ListParagraph"/>
        <w:numPr>
          <w:ilvl w:val="0"/>
          <w:numId w:val="4"/>
        </w:num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Repaid $67.5 million of Corporate Debt facilities </w:t>
      </w:r>
    </w:p>
    <w:p w14:paraId="24112DA5" w14:textId="77777777" w:rsidR="008B1D13" w:rsidRPr="00836A85" w:rsidRDefault="008B1D13" w:rsidP="00836A85">
      <w:pPr>
        <w:pStyle w:val="ListParagraph"/>
        <w:numPr>
          <w:ilvl w:val="0"/>
          <w:numId w:val="4"/>
        </w:num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Via our first half 2025 On Market Share Buy Back – acquired 10% of traded shares during the period we were in market. </w:t>
      </w:r>
    </w:p>
    <w:p w14:paraId="4210CE82" w14:textId="77777777" w:rsidR="008B1D13" w:rsidRPr="00836A85" w:rsidRDefault="008B1D13" w:rsidP="00836A85">
      <w:pPr>
        <w:pStyle w:val="ListParagraph"/>
        <w:numPr>
          <w:ilvl w:val="0"/>
          <w:numId w:val="4"/>
        </w:num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Paid a fully franked Special Dividend of $55.5 million in July. As </w:t>
      </w:r>
      <w:proofErr w:type="gramStart"/>
      <w:r w:rsidRPr="00836A85">
        <w:rPr>
          <w:rFonts w:ascii="Brandon Grotesque Regular" w:eastAsiaTheme="minorEastAsia" w:hAnsi="Brandon Grotesque Regular" w:cstheme="minorHAnsi"/>
          <w:color w:val="000000" w:themeColor="text1"/>
          <w:sz w:val="22"/>
          <w:szCs w:val="22"/>
          <w:lang w:val="en-GB" w:bidi="ar-SA"/>
        </w:rPr>
        <w:t>this redistributed retained earnings</w:t>
      </w:r>
      <w:proofErr w:type="gramEnd"/>
      <w:r w:rsidRPr="00836A85">
        <w:rPr>
          <w:rFonts w:ascii="Brandon Grotesque Regular" w:eastAsiaTheme="minorEastAsia" w:hAnsi="Brandon Grotesque Regular" w:cstheme="minorHAnsi"/>
          <w:color w:val="000000" w:themeColor="text1"/>
          <w:sz w:val="22"/>
          <w:szCs w:val="22"/>
          <w:lang w:val="en-GB" w:bidi="ar-SA"/>
        </w:rPr>
        <w:t xml:space="preserve"> to </w:t>
      </w:r>
      <w:proofErr w:type="gramStart"/>
      <w:r w:rsidRPr="00836A85">
        <w:rPr>
          <w:rFonts w:ascii="Brandon Grotesque Regular" w:eastAsiaTheme="minorEastAsia" w:hAnsi="Brandon Grotesque Regular" w:cstheme="minorHAnsi"/>
          <w:color w:val="000000" w:themeColor="text1"/>
          <w:sz w:val="22"/>
          <w:szCs w:val="22"/>
          <w:lang w:val="en-GB" w:bidi="ar-SA"/>
        </w:rPr>
        <w:t>shareholders</w:t>
      </w:r>
      <w:proofErr w:type="gramEnd"/>
      <w:r w:rsidRPr="00836A85">
        <w:rPr>
          <w:rFonts w:ascii="Brandon Grotesque Regular" w:eastAsiaTheme="minorEastAsia" w:hAnsi="Brandon Grotesque Regular" w:cstheme="minorHAnsi"/>
          <w:color w:val="000000" w:themeColor="text1"/>
          <w:sz w:val="22"/>
          <w:szCs w:val="22"/>
          <w:lang w:val="en-GB" w:bidi="ar-SA"/>
        </w:rPr>
        <w:t xml:space="preserve"> it delivered an 86-basis points improvement in Return on Equity.</w:t>
      </w:r>
    </w:p>
    <w:p w14:paraId="19CF3A94" w14:textId="77777777" w:rsidR="008B1D13" w:rsidRPr="00836A85" w:rsidRDefault="008B1D13" w:rsidP="00836A85">
      <w:pPr>
        <w:pStyle w:val="ListParagraph"/>
        <w:numPr>
          <w:ilvl w:val="0"/>
          <w:numId w:val="4"/>
        </w:num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Paid a further $60 million in fully franked Dividends, being 2024 Final and 2025 Interim dividends; and</w:t>
      </w:r>
    </w:p>
    <w:p w14:paraId="3E070214" w14:textId="77777777" w:rsidR="008B1D13" w:rsidRPr="00836A85" w:rsidRDefault="008B1D13" w:rsidP="00836A85">
      <w:pPr>
        <w:pStyle w:val="ListParagraph"/>
        <w:numPr>
          <w:ilvl w:val="0"/>
          <w:numId w:val="4"/>
        </w:num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We have closed the year with Unrestricted cash at $121.8 million from which we declared our Final dividend – fully franked – of $34.7 million </w:t>
      </w:r>
    </w:p>
    <w:p w14:paraId="2DE78997" w14:textId="77777777" w:rsidR="008B1D13" w:rsidRPr="00836A85" w:rsidRDefault="008B1D13" w:rsidP="00836A85">
      <w:pPr>
        <w:spacing w:before="60" w:after="60" w:line="240" w:lineRule="auto"/>
        <w:contextualSpacing/>
        <w:rPr>
          <w:rFonts w:ascii="Brandon Grotesque Regular" w:eastAsiaTheme="minorEastAsia" w:hAnsi="Brandon Grotesque Regular" w:cstheme="minorHAnsi"/>
          <w:color w:val="000000" w:themeColor="text1"/>
          <w:sz w:val="22"/>
          <w:szCs w:val="22"/>
          <w:highlight w:val="yellow"/>
          <w:lang w:val="en-GB" w:bidi="ar-SA"/>
        </w:rPr>
      </w:pPr>
    </w:p>
    <w:p w14:paraId="269634E8" w14:textId="1D58E3DD" w:rsidR="008B1D13" w:rsidRPr="00836A85" w:rsidRDefault="00A4108A" w:rsidP="00836A85">
      <w:pPr>
        <w:spacing w:before="60" w:after="60" w:line="240" w:lineRule="auto"/>
        <w:contextualSpacing/>
        <w:rPr>
          <w:rFonts w:ascii="Brandon Grotesque Regular" w:eastAsiaTheme="minorEastAsia" w:hAnsi="Brandon Grotesque Regular" w:cstheme="minorHAnsi"/>
          <w:color w:val="000000" w:themeColor="text1"/>
          <w:sz w:val="22"/>
          <w:szCs w:val="22"/>
          <w:lang w:val="en-GB" w:bidi="ar-SA"/>
        </w:rPr>
      </w:pPr>
      <w:proofErr w:type="gramStart"/>
      <w:r w:rsidRPr="00836A85">
        <w:rPr>
          <w:rFonts w:ascii="Brandon Grotesque Regular" w:eastAsiaTheme="minorEastAsia" w:hAnsi="Brandon Grotesque Regular" w:cstheme="minorHAnsi"/>
          <w:color w:val="000000" w:themeColor="text1"/>
          <w:sz w:val="22"/>
          <w:szCs w:val="22"/>
          <w:lang w:val="en-GB" w:bidi="ar-SA"/>
        </w:rPr>
        <w:t>So</w:t>
      </w:r>
      <w:proofErr w:type="gramEnd"/>
      <w:r w:rsidRPr="00836A85">
        <w:rPr>
          <w:rFonts w:ascii="Brandon Grotesque Regular" w:eastAsiaTheme="minorEastAsia" w:hAnsi="Brandon Grotesque Regular" w:cstheme="minorHAnsi"/>
          <w:color w:val="000000" w:themeColor="text1"/>
          <w:sz w:val="22"/>
          <w:szCs w:val="22"/>
          <w:lang w:val="en-GB" w:bidi="ar-SA"/>
        </w:rPr>
        <w:t xml:space="preserve"> </w:t>
      </w:r>
      <w:r w:rsidR="008B1D13" w:rsidRPr="00836A85">
        <w:rPr>
          <w:rFonts w:ascii="Brandon Grotesque Regular" w:eastAsiaTheme="minorEastAsia" w:hAnsi="Brandon Grotesque Regular" w:cstheme="minorHAnsi"/>
          <w:color w:val="000000" w:themeColor="text1"/>
          <w:sz w:val="22"/>
          <w:szCs w:val="22"/>
          <w:lang w:val="en-GB" w:bidi="ar-SA"/>
        </w:rPr>
        <w:t>to close with our Balance Sheet on slide 21.</w:t>
      </w:r>
    </w:p>
    <w:p w14:paraId="6B7873F5" w14:textId="77777777" w:rsidR="008B1D13" w:rsidRPr="00836A85" w:rsidRDefault="008B1D13" w:rsidP="00836A85">
      <w:pPr>
        <w:spacing w:before="60" w:after="60" w:line="240" w:lineRule="auto"/>
        <w:contextualSpacing/>
        <w:rPr>
          <w:rFonts w:ascii="Brandon Grotesque Regular" w:eastAsiaTheme="minorEastAsia" w:hAnsi="Brandon Grotesque Regular" w:cstheme="minorHAnsi"/>
          <w:color w:val="000000" w:themeColor="text1"/>
          <w:sz w:val="22"/>
          <w:szCs w:val="22"/>
          <w:highlight w:val="yellow"/>
          <w:lang w:val="en-GB" w:bidi="ar-SA"/>
        </w:rPr>
      </w:pPr>
    </w:p>
    <w:p w14:paraId="75A86CF3" w14:textId="77777777" w:rsidR="008B1D13" w:rsidRPr="00836A85" w:rsidRDefault="008B1D13"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b/>
          <w:bCs/>
          <w:caps/>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t>slide number 21</w:t>
      </w:r>
    </w:p>
    <w:p w14:paraId="3B5A1A97"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The main movement has been in Loans and Advances which, at $16.8 billion at year end, have followed the growth in AUM, including Whole Loan Sales, net of loan loss provisions.</w:t>
      </w:r>
    </w:p>
    <w:p w14:paraId="0ABAE774"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3F4E0364"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We originated $10.3 billion in new financial assets over the year – asset growth was financed by the issuance of four Public Term securitisations of $3.5 billion, and a further $3.5 billion of Whole Loan Sales.  </w:t>
      </w:r>
    </w:p>
    <w:p w14:paraId="2EE4DA49" w14:textId="77777777" w:rsidR="008B1D13" w:rsidRPr="00836A85" w:rsidRDefault="008B1D13" w:rsidP="00836A85">
      <w:pPr>
        <w:pStyle w:val="ListParagraph"/>
        <w:autoSpaceDE w:val="0"/>
        <w:autoSpaceDN w:val="0"/>
        <w:adjustRightInd w:val="0"/>
        <w:spacing w:before="60" w:after="60" w:line="240" w:lineRule="auto"/>
        <w:ind w:left="0"/>
        <w:jc w:val="both"/>
        <w:rPr>
          <w:rFonts w:ascii="Brandon Grotesque Regular" w:eastAsiaTheme="minorEastAsia" w:hAnsi="Brandon Grotesque Regular" w:cstheme="minorHAnsi"/>
          <w:color w:val="000000" w:themeColor="text1"/>
          <w:sz w:val="22"/>
          <w:szCs w:val="22"/>
          <w:lang w:val="en-GB" w:bidi="ar-SA"/>
        </w:rPr>
      </w:pPr>
    </w:p>
    <w:p w14:paraId="1C96FCE3" w14:textId="77777777" w:rsidR="008B1D13" w:rsidRPr="00836A85" w:rsidRDefault="008B1D13" w:rsidP="00836A85">
      <w:pPr>
        <w:autoSpaceDE w:val="0"/>
        <w:autoSpaceDN w:val="0"/>
        <w:adjustRightInd w:val="0"/>
        <w:spacing w:before="60" w:after="60" w:line="240" w:lineRule="auto"/>
        <w:jc w:val="both"/>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Given the growth in Originations, we increased warehouse capacity to $13.3 billion over the period, up $2.5 billion from December 2024. </w:t>
      </w:r>
    </w:p>
    <w:p w14:paraId="67704630" w14:textId="77777777" w:rsidR="008B1D13" w:rsidRPr="00836A85" w:rsidRDefault="008B1D13" w:rsidP="00836A85">
      <w:pPr>
        <w:pStyle w:val="ListParagraph"/>
        <w:autoSpaceDE w:val="0"/>
        <w:autoSpaceDN w:val="0"/>
        <w:adjustRightInd w:val="0"/>
        <w:spacing w:before="60" w:after="60" w:line="240" w:lineRule="auto"/>
        <w:ind w:left="0"/>
        <w:jc w:val="both"/>
        <w:rPr>
          <w:rFonts w:ascii="Brandon Grotesque Regular" w:eastAsiaTheme="minorEastAsia" w:hAnsi="Brandon Grotesque Regular" w:cstheme="minorHAnsi"/>
          <w:color w:val="000000" w:themeColor="text1"/>
          <w:sz w:val="22"/>
          <w:szCs w:val="22"/>
          <w:lang w:val="en-GB" w:bidi="ar-SA"/>
        </w:rPr>
      </w:pPr>
    </w:p>
    <w:p w14:paraId="59418257"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Net Assets closed at $869.9 million up from $855.6 million at December 2024, given the movement in Loans and Advances.</w:t>
      </w:r>
    </w:p>
    <w:p w14:paraId="41323AD1"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3F073D64"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And retained earnings reflect the profit delivered by the business, net of dividends paid.</w:t>
      </w:r>
    </w:p>
    <w:p w14:paraId="13CAFA86"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6CF9AE4F" w14:textId="77777777" w:rsidR="008B1D13" w:rsidRPr="00836A85" w:rsidRDefault="008B1D1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Thank you and I will now hand back to Mario.</w:t>
      </w:r>
    </w:p>
    <w:p w14:paraId="41A0FF6A" w14:textId="77777777" w:rsidR="008B1D13" w:rsidRPr="00836A85" w:rsidRDefault="008B1D13" w:rsidP="00836A85">
      <w:pPr>
        <w:spacing w:before="60" w:after="60" w:line="240" w:lineRule="auto"/>
        <w:contextualSpacing/>
        <w:rPr>
          <w:rFonts w:ascii="Brandon Grotesque Regular" w:eastAsiaTheme="minorEastAsia" w:hAnsi="Brandon Grotesque Regular" w:cstheme="minorHAnsi"/>
          <w:color w:val="000000" w:themeColor="text1"/>
          <w:sz w:val="22"/>
          <w:szCs w:val="22"/>
          <w:highlight w:val="yellow"/>
          <w:lang w:val="en-GB" w:bidi="ar-SA"/>
        </w:rPr>
      </w:pPr>
    </w:p>
    <w:p w14:paraId="587362F1" w14:textId="77777777" w:rsidR="008B1D13" w:rsidRPr="00836A85" w:rsidRDefault="008B1D13" w:rsidP="00836A85">
      <w:pPr>
        <w:spacing w:before="60" w:after="60" w:line="240" w:lineRule="auto"/>
        <w:contextualSpacing/>
        <w:rPr>
          <w:rFonts w:ascii="Brandon Grotesque Regular" w:eastAsiaTheme="minorEastAsia" w:hAnsi="Brandon Grotesque Regular" w:cstheme="minorHAnsi"/>
          <w:color w:val="000000" w:themeColor="text1"/>
          <w:sz w:val="22"/>
          <w:szCs w:val="22"/>
          <w:highlight w:val="yellow"/>
          <w:lang w:val="en-GB" w:bidi="ar-SA"/>
        </w:rPr>
      </w:pPr>
    </w:p>
    <w:p w14:paraId="4BF07234" w14:textId="77777777" w:rsidR="00C27053" w:rsidRPr="00836A85" w:rsidRDefault="00C27053"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bookmarkEnd w:id="2"/>
    <w:p w14:paraId="05CA195F" w14:textId="364A6B5C" w:rsidR="00295252" w:rsidRPr="00836A85" w:rsidRDefault="008B1D13"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b/>
          <w:bCs/>
          <w:caps/>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t xml:space="preserve">SLIDE </w:t>
      </w:r>
      <w:r w:rsidR="00295252" w:rsidRPr="00836A85">
        <w:rPr>
          <w:rFonts w:ascii="Brandon Grotesque Regular" w:eastAsiaTheme="minorEastAsia" w:hAnsi="Brandon Grotesque Regular"/>
          <w:b/>
          <w:bCs/>
          <w:caps/>
          <w:color w:val="002060"/>
          <w:spacing w:val="80"/>
          <w:sz w:val="22"/>
          <w:szCs w:val="22"/>
          <w:lang w:val="en-GB" w:bidi="ar-SA"/>
        </w:rPr>
        <w:t>number 22</w:t>
      </w:r>
    </w:p>
    <w:p w14:paraId="3DB62FB4" w14:textId="6C713A9B" w:rsidR="00295252" w:rsidRPr="00836A85" w:rsidRDefault="00295252"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 xml:space="preserve">Thank </w:t>
      </w:r>
      <w:r w:rsidR="00735F47" w:rsidRPr="00836A85">
        <w:rPr>
          <w:rFonts w:ascii="Brandon Grotesque Regular" w:eastAsiaTheme="minorEastAsia" w:hAnsi="Brandon Grotesque Regular" w:cstheme="minorHAnsi"/>
          <w:color w:val="000000" w:themeColor="text1"/>
          <w:sz w:val="22"/>
          <w:szCs w:val="22"/>
          <w:lang w:val="en-GB" w:bidi="ar-SA"/>
        </w:rPr>
        <w:t>you, Therese,</w:t>
      </w:r>
    </w:p>
    <w:p w14:paraId="7ADD0D67" w14:textId="77777777" w:rsidR="00295252" w:rsidRPr="00836A85" w:rsidRDefault="00295252"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6D79AEA1" w14:textId="77777777" w:rsidR="00A5029D" w:rsidRPr="00836A85" w:rsidRDefault="00A5029D"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r w:rsidRPr="00836A85">
        <w:rPr>
          <w:rFonts w:ascii="Brandon Grotesque Regular" w:eastAsiaTheme="minorEastAsia" w:hAnsi="Brandon Grotesque Regular" w:cstheme="minorHAnsi"/>
          <w:color w:val="000000" w:themeColor="text1"/>
          <w:sz w:val="22"/>
          <w:szCs w:val="22"/>
          <w:lang w:val="en-GB" w:bidi="ar-SA"/>
        </w:rPr>
        <w:t>In closing.</w:t>
      </w:r>
    </w:p>
    <w:p w14:paraId="702D5411" w14:textId="77777777" w:rsidR="00A5029D" w:rsidRPr="00836A85" w:rsidRDefault="00A5029D" w:rsidP="00836A85">
      <w:pPr>
        <w:spacing w:before="60" w:after="60" w:line="240" w:lineRule="auto"/>
        <w:rPr>
          <w:rFonts w:ascii="Brandon Grotesque Regular" w:eastAsiaTheme="minorEastAsia" w:hAnsi="Brandon Grotesque Regular" w:cstheme="minorHAnsi"/>
          <w:color w:val="000000" w:themeColor="text1"/>
          <w:sz w:val="22"/>
          <w:szCs w:val="22"/>
          <w:lang w:val="en-GB" w:bidi="ar-SA"/>
        </w:rPr>
      </w:pPr>
    </w:p>
    <w:p w14:paraId="15FEFA80" w14:textId="77777777" w:rsidR="00A5029D" w:rsidRPr="00836A85" w:rsidRDefault="00A5029D"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color w:val="000000"/>
          <w:sz w:val="22"/>
          <w:szCs w:val="22"/>
        </w:rPr>
        <w:t>I remain positive regarding the outlook for the Australian economy, due to its demonstrated resilience, but I do need to note that i</w:t>
      </w:r>
      <w:r w:rsidRPr="00836A85">
        <w:rPr>
          <w:rFonts w:ascii="Brandon Grotesque Regular" w:hAnsi="Brandon Grotesque Regular"/>
          <w:sz w:val="22"/>
          <w:szCs w:val="22"/>
        </w:rPr>
        <w:t xml:space="preserve">nterest rates will continue to be a key focus area of economic policy – and rate rises may be necessary </w:t>
      </w:r>
      <w:proofErr w:type="gramStart"/>
      <w:r w:rsidRPr="00836A85">
        <w:rPr>
          <w:rFonts w:ascii="Brandon Grotesque Regular" w:hAnsi="Brandon Grotesque Regular"/>
          <w:sz w:val="22"/>
          <w:szCs w:val="22"/>
        </w:rPr>
        <w:t>in order to</w:t>
      </w:r>
      <w:proofErr w:type="gramEnd"/>
      <w:r w:rsidRPr="00836A85">
        <w:rPr>
          <w:rFonts w:ascii="Brandon Grotesque Regular" w:hAnsi="Brandon Grotesque Regular"/>
          <w:sz w:val="22"/>
          <w:szCs w:val="22"/>
        </w:rPr>
        <w:t xml:space="preserve"> bring inflation in line with RBA’s target band of the 2–3%.</w:t>
      </w:r>
    </w:p>
    <w:p w14:paraId="71DCD0BF" w14:textId="77777777" w:rsidR="00A5029D" w:rsidRPr="00836A85" w:rsidRDefault="00A5029D" w:rsidP="00836A85">
      <w:pPr>
        <w:spacing w:before="60" w:after="60" w:line="240" w:lineRule="auto"/>
        <w:rPr>
          <w:rFonts w:ascii="Brandon Grotesque Regular" w:hAnsi="Brandon Grotesque Regular"/>
          <w:sz w:val="22"/>
          <w:szCs w:val="22"/>
        </w:rPr>
      </w:pPr>
    </w:p>
    <w:p w14:paraId="3F411DD5" w14:textId="77777777" w:rsidR="00A5029D" w:rsidRPr="00836A85" w:rsidRDefault="00A5029D"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But Pepper Money is well positioned and focused on growth:</w:t>
      </w:r>
    </w:p>
    <w:p w14:paraId="40224454" w14:textId="5631AD78" w:rsidR="00A5029D" w:rsidRPr="00836A85" w:rsidRDefault="00A5029D" w:rsidP="00836A85">
      <w:pPr>
        <w:pStyle w:val="ListParagraph"/>
        <w:numPr>
          <w:ilvl w:val="0"/>
          <w:numId w:val="4"/>
        </w:numPr>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 xml:space="preserve">We have built out our business diversification -  both in terms of the scale from our two-core lending businesses - Mortgages and Asset Finance, as well as the growth from our Loan and Other Servicing </w:t>
      </w:r>
      <w:r w:rsidR="00A53FE0" w:rsidRPr="00836A85">
        <w:rPr>
          <w:rFonts w:ascii="Brandon Grotesque Regular" w:hAnsi="Brandon Grotesque Regular"/>
          <w:sz w:val="22"/>
          <w:szCs w:val="22"/>
        </w:rPr>
        <w:t>business,</w:t>
      </w:r>
      <w:r w:rsidR="00F36A4E" w:rsidRPr="00836A85">
        <w:rPr>
          <w:rFonts w:ascii="Brandon Grotesque Regular" w:hAnsi="Brandon Grotesque Regular"/>
          <w:sz w:val="22"/>
          <w:szCs w:val="22"/>
        </w:rPr>
        <w:t xml:space="preserve"> </w:t>
      </w:r>
      <w:r w:rsidRPr="00836A85">
        <w:rPr>
          <w:rFonts w:ascii="Brandon Grotesque Regular" w:hAnsi="Brandon Grotesque Regular"/>
          <w:sz w:val="22"/>
          <w:szCs w:val="22"/>
        </w:rPr>
        <w:t xml:space="preserve">which delivers a capital light annuity style income stream from our Whole Loan Sales strategy, </w:t>
      </w:r>
    </w:p>
    <w:p w14:paraId="7DA41D15" w14:textId="4AD8B733" w:rsidR="00A5029D" w:rsidRPr="00836A85" w:rsidRDefault="00A5029D" w:rsidP="00836A85">
      <w:pPr>
        <w:pStyle w:val="ListParagraph"/>
        <w:numPr>
          <w:ilvl w:val="0"/>
          <w:numId w:val="4"/>
        </w:numPr>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 xml:space="preserve">Our capabilities as a Servicer </w:t>
      </w:r>
      <w:r w:rsidR="00F36A4E" w:rsidRPr="00836A85">
        <w:rPr>
          <w:rFonts w:ascii="Brandon Grotesque Regular" w:hAnsi="Brandon Grotesque Regular"/>
          <w:sz w:val="22"/>
          <w:szCs w:val="22"/>
        </w:rPr>
        <w:t>are</w:t>
      </w:r>
      <w:r w:rsidRPr="00836A85">
        <w:rPr>
          <w:rFonts w:ascii="Brandon Grotesque Regular" w:hAnsi="Brandon Grotesque Regular"/>
          <w:sz w:val="22"/>
          <w:szCs w:val="22"/>
        </w:rPr>
        <w:t xml:space="preserve"> known and positions us to capture growth opportunities, from portfolio sales to third parties – as we saw in 2025 with the sale of the Westpac / RAMS portfolio to a Consortium with Pepper Money to be appointed as the Servicer. </w:t>
      </w:r>
    </w:p>
    <w:p w14:paraId="1BFCB547" w14:textId="76F8FADD" w:rsidR="00A5029D" w:rsidRPr="00836A85" w:rsidRDefault="00A5029D" w:rsidP="00836A85">
      <w:pPr>
        <w:pStyle w:val="ListParagraph"/>
        <w:numPr>
          <w:ilvl w:val="0"/>
          <w:numId w:val="4"/>
        </w:numPr>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We continue to identify and launch new products and polic</w:t>
      </w:r>
      <w:r w:rsidR="00ED09B4" w:rsidRPr="00836A85">
        <w:rPr>
          <w:rFonts w:ascii="Brandon Grotesque Regular" w:hAnsi="Brandon Grotesque Regular"/>
          <w:sz w:val="22"/>
          <w:szCs w:val="22"/>
        </w:rPr>
        <w:t>y</w:t>
      </w:r>
      <w:r w:rsidRPr="00836A85">
        <w:rPr>
          <w:rFonts w:ascii="Brandon Grotesque Regular" w:hAnsi="Brandon Grotesque Regular"/>
          <w:sz w:val="22"/>
          <w:szCs w:val="22"/>
        </w:rPr>
        <w:t xml:space="preserve"> changes.</w:t>
      </w:r>
    </w:p>
    <w:p w14:paraId="48C32801" w14:textId="77777777" w:rsidR="00A5029D" w:rsidRPr="00836A85" w:rsidRDefault="00A5029D" w:rsidP="00836A85">
      <w:pPr>
        <w:pStyle w:val="ListParagraph"/>
        <w:numPr>
          <w:ilvl w:val="0"/>
          <w:numId w:val="4"/>
        </w:numPr>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 xml:space="preserve">Our constant investment in technology, people and processes has delivered a scaled platform and we continue to derive efficiency benefits. </w:t>
      </w:r>
    </w:p>
    <w:p w14:paraId="01E28595" w14:textId="48BCDA3C" w:rsidR="00A5029D" w:rsidRPr="00836A85" w:rsidRDefault="00A5029D" w:rsidP="00836A85">
      <w:pPr>
        <w:pStyle w:val="ListParagraph"/>
        <w:numPr>
          <w:ilvl w:val="0"/>
          <w:numId w:val="4"/>
        </w:numPr>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 xml:space="preserve">We will gain </w:t>
      </w:r>
      <w:r w:rsidR="00A53FE0" w:rsidRPr="00836A85">
        <w:rPr>
          <w:rFonts w:ascii="Brandon Grotesque Regular" w:hAnsi="Brandon Grotesque Regular"/>
          <w:sz w:val="22"/>
          <w:szCs w:val="22"/>
        </w:rPr>
        <w:t xml:space="preserve">further </w:t>
      </w:r>
      <w:r w:rsidRPr="00836A85">
        <w:rPr>
          <w:rFonts w:ascii="Brandon Grotesque Regular" w:hAnsi="Brandon Grotesque Regular"/>
          <w:sz w:val="22"/>
          <w:szCs w:val="22"/>
        </w:rPr>
        <w:t>on-going benefits from improved customer experience and reducing our cost to serve from our AI and automated process</w:t>
      </w:r>
      <w:r w:rsidR="005C28A9" w:rsidRPr="00836A85">
        <w:rPr>
          <w:rFonts w:ascii="Brandon Grotesque Regular" w:hAnsi="Brandon Grotesque Regular"/>
          <w:sz w:val="22"/>
          <w:szCs w:val="22"/>
        </w:rPr>
        <w:t>es</w:t>
      </w:r>
      <w:r w:rsidRPr="00836A85">
        <w:rPr>
          <w:rFonts w:ascii="Brandon Grotesque Regular" w:hAnsi="Brandon Grotesque Regular"/>
          <w:sz w:val="22"/>
          <w:szCs w:val="22"/>
        </w:rPr>
        <w:t xml:space="preserve"> and decisioning strategy.</w:t>
      </w:r>
    </w:p>
    <w:p w14:paraId="01F38E6F" w14:textId="77777777" w:rsidR="00A5029D" w:rsidRPr="00836A85" w:rsidRDefault="00A5029D" w:rsidP="00836A85">
      <w:pPr>
        <w:pStyle w:val="ListParagraph"/>
        <w:spacing w:before="60" w:after="60" w:line="240" w:lineRule="auto"/>
        <w:rPr>
          <w:rFonts w:ascii="Brandon Grotesque Regular" w:hAnsi="Brandon Grotesque Regular"/>
          <w:sz w:val="22"/>
          <w:szCs w:val="22"/>
        </w:rPr>
      </w:pPr>
    </w:p>
    <w:p w14:paraId="6A2B6916" w14:textId="3C293852" w:rsidR="00A5029D" w:rsidRPr="00836A85" w:rsidRDefault="008B1D13" w:rsidP="00836A85">
      <w:pPr>
        <w:pStyle w:val="ListParagraph"/>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and</w:t>
      </w:r>
    </w:p>
    <w:p w14:paraId="1B7332C7" w14:textId="77777777" w:rsidR="00A5029D" w:rsidRPr="00836A85" w:rsidRDefault="00A5029D" w:rsidP="00836A85">
      <w:pPr>
        <w:pStyle w:val="ListParagraph"/>
        <w:spacing w:before="60" w:after="60" w:line="240" w:lineRule="auto"/>
        <w:rPr>
          <w:rFonts w:ascii="Brandon Grotesque Regular" w:hAnsi="Brandon Grotesque Regular"/>
          <w:sz w:val="22"/>
          <w:szCs w:val="22"/>
        </w:rPr>
      </w:pPr>
    </w:p>
    <w:p w14:paraId="1E6B6789" w14:textId="77777777" w:rsidR="00A5029D" w:rsidRPr="00836A85" w:rsidRDefault="00A5029D" w:rsidP="00836A85">
      <w:pPr>
        <w:pStyle w:val="ListParagraph"/>
        <w:numPr>
          <w:ilvl w:val="0"/>
          <w:numId w:val="4"/>
        </w:numPr>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 xml:space="preserve">We have sufficient funding headroom available – and </w:t>
      </w:r>
      <w:proofErr w:type="gramStart"/>
      <w:r w:rsidRPr="00836A85">
        <w:rPr>
          <w:rFonts w:ascii="Brandon Grotesque Regular" w:hAnsi="Brandon Grotesque Regular"/>
          <w:sz w:val="22"/>
          <w:szCs w:val="22"/>
        </w:rPr>
        <w:t>are able to</w:t>
      </w:r>
      <w:proofErr w:type="gramEnd"/>
      <w:r w:rsidRPr="00836A85">
        <w:rPr>
          <w:rFonts w:ascii="Brandon Grotesque Regular" w:hAnsi="Brandon Grotesque Regular"/>
          <w:sz w:val="22"/>
          <w:szCs w:val="22"/>
        </w:rPr>
        <w:t xml:space="preserve"> continue to capitalise on growth opportunities.  </w:t>
      </w:r>
    </w:p>
    <w:p w14:paraId="70908682" w14:textId="77777777" w:rsidR="00295252" w:rsidRPr="00836A85" w:rsidRDefault="00295252" w:rsidP="00836A85">
      <w:pPr>
        <w:spacing w:before="60" w:after="60" w:line="240" w:lineRule="auto"/>
        <w:rPr>
          <w:rFonts w:ascii="Brandon Grotesque Regular" w:hAnsi="Brandon Grotesque Regular"/>
          <w:sz w:val="22"/>
          <w:szCs w:val="22"/>
        </w:rPr>
      </w:pPr>
    </w:p>
    <w:p w14:paraId="5F8D581D" w14:textId="63A610E2" w:rsidR="00295252" w:rsidRPr="00836A85" w:rsidRDefault="00295252" w:rsidP="00836A85">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before="60" w:after="60" w:line="240" w:lineRule="auto"/>
        <w:rPr>
          <w:rFonts w:ascii="Brandon Grotesque Regular" w:eastAsiaTheme="minorEastAsia" w:hAnsi="Brandon Grotesque Regular"/>
          <w:b/>
          <w:bCs/>
          <w:caps/>
          <w:color w:val="002060"/>
          <w:spacing w:val="80"/>
          <w:sz w:val="22"/>
          <w:szCs w:val="22"/>
          <w:lang w:val="en-GB" w:bidi="ar-SA"/>
        </w:rPr>
      </w:pPr>
      <w:r w:rsidRPr="00836A85">
        <w:rPr>
          <w:rFonts w:ascii="Brandon Grotesque Regular" w:eastAsiaTheme="minorEastAsia" w:hAnsi="Brandon Grotesque Regular"/>
          <w:b/>
          <w:bCs/>
          <w:caps/>
          <w:color w:val="002060"/>
          <w:spacing w:val="80"/>
          <w:sz w:val="22"/>
          <w:szCs w:val="22"/>
          <w:lang w:val="en-GB" w:bidi="ar-SA"/>
        </w:rPr>
        <w:t>number 2</w:t>
      </w:r>
      <w:r w:rsidR="00665436" w:rsidRPr="00836A85">
        <w:rPr>
          <w:rFonts w:ascii="Brandon Grotesque Regular" w:eastAsiaTheme="minorEastAsia" w:hAnsi="Brandon Grotesque Regular"/>
          <w:b/>
          <w:bCs/>
          <w:caps/>
          <w:color w:val="002060"/>
          <w:spacing w:val="80"/>
          <w:sz w:val="22"/>
          <w:szCs w:val="22"/>
          <w:lang w:val="en-GB" w:bidi="ar-SA"/>
        </w:rPr>
        <w:t>3</w:t>
      </w:r>
    </w:p>
    <w:p w14:paraId="266A7ACA" w14:textId="001D4980" w:rsidR="00295252" w:rsidRPr="00836A85" w:rsidRDefault="007948B1"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B</w:t>
      </w:r>
      <w:r w:rsidR="00295252" w:rsidRPr="00836A85">
        <w:rPr>
          <w:rFonts w:ascii="Brandon Grotesque Regular" w:hAnsi="Brandon Grotesque Regular"/>
          <w:sz w:val="22"/>
          <w:szCs w:val="22"/>
        </w:rPr>
        <w:t>efore handing over to Q&amp;A</w:t>
      </w:r>
      <w:r w:rsidRPr="00836A85">
        <w:rPr>
          <w:rFonts w:ascii="Brandon Grotesque Regular" w:hAnsi="Brandon Grotesque Regular"/>
          <w:sz w:val="22"/>
          <w:szCs w:val="22"/>
        </w:rPr>
        <w:t>.</w:t>
      </w:r>
    </w:p>
    <w:p w14:paraId="016EC2E4" w14:textId="77777777" w:rsidR="00295252" w:rsidRPr="00836A85" w:rsidRDefault="00295252" w:rsidP="00836A85">
      <w:pPr>
        <w:spacing w:before="60" w:after="60" w:line="240" w:lineRule="auto"/>
        <w:rPr>
          <w:rFonts w:ascii="Brandon Grotesque Regular" w:hAnsi="Brandon Grotesque Regular"/>
          <w:sz w:val="22"/>
          <w:szCs w:val="22"/>
        </w:rPr>
      </w:pPr>
    </w:p>
    <w:p w14:paraId="42E869E5" w14:textId="6D83CC2F" w:rsidR="00735F47" w:rsidRPr="00836A85" w:rsidRDefault="00ED09B4"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 xml:space="preserve">Please note, </w:t>
      </w:r>
      <w:r w:rsidR="00A5029D" w:rsidRPr="00836A85">
        <w:rPr>
          <w:rFonts w:ascii="Brandon Grotesque Regular" w:hAnsi="Brandon Grotesque Regular"/>
          <w:sz w:val="22"/>
          <w:szCs w:val="22"/>
        </w:rPr>
        <w:t>I do not have any further information to provide you in respect of our ASX Announcement on  February 9th – where we informed the market that we had received a non-binding and conditional proposal to acquire 100% of the share</w:t>
      </w:r>
      <w:r w:rsidR="001B32AF" w:rsidRPr="00836A85">
        <w:rPr>
          <w:rFonts w:ascii="Brandon Grotesque Regular" w:hAnsi="Brandon Grotesque Regular"/>
          <w:sz w:val="22"/>
          <w:szCs w:val="22"/>
        </w:rPr>
        <w:t>s</w:t>
      </w:r>
      <w:r w:rsidR="00A5029D" w:rsidRPr="00836A85">
        <w:rPr>
          <w:rFonts w:ascii="Brandon Grotesque Regular" w:hAnsi="Brandon Grotesque Regular"/>
          <w:sz w:val="22"/>
          <w:szCs w:val="22"/>
        </w:rPr>
        <w:t xml:space="preserve"> in Pepper Money under a scheme of arrangement under which Challenger and Pepper Group will jointly acquire Pepper Money.</w:t>
      </w:r>
    </w:p>
    <w:p w14:paraId="321F7BDF" w14:textId="77777777" w:rsidR="00A5029D" w:rsidRPr="00836A85" w:rsidRDefault="00A5029D" w:rsidP="00836A85">
      <w:pPr>
        <w:spacing w:before="60" w:after="60" w:line="240" w:lineRule="auto"/>
        <w:rPr>
          <w:rFonts w:ascii="Brandon Grotesque Regular" w:hAnsi="Brandon Grotesque Regular"/>
          <w:sz w:val="22"/>
          <w:szCs w:val="22"/>
        </w:rPr>
      </w:pPr>
    </w:p>
    <w:p w14:paraId="702D8491" w14:textId="08DDC2D0" w:rsidR="00735F47" w:rsidRPr="00836A85" w:rsidRDefault="00735F47"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As noted in the announcement – discussion</w:t>
      </w:r>
      <w:r w:rsidR="00A53FE0" w:rsidRPr="00836A85">
        <w:rPr>
          <w:rFonts w:ascii="Brandon Grotesque Regular" w:hAnsi="Brandon Grotesque Regular"/>
          <w:sz w:val="22"/>
          <w:szCs w:val="22"/>
        </w:rPr>
        <w:t>s</w:t>
      </w:r>
      <w:r w:rsidRPr="00836A85">
        <w:rPr>
          <w:rFonts w:ascii="Brandon Grotesque Regular" w:hAnsi="Brandon Grotesque Regular"/>
          <w:sz w:val="22"/>
          <w:szCs w:val="22"/>
        </w:rPr>
        <w:t xml:space="preserve"> are ongoing however there is no certainty that a more certain proposal will be forthcoming that would result in a definitive agreement.</w:t>
      </w:r>
    </w:p>
    <w:p w14:paraId="7F521272" w14:textId="77777777" w:rsidR="00735F47" w:rsidRPr="00836A85" w:rsidRDefault="00735F47" w:rsidP="00836A85">
      <w:pPr>
        <w:spacing w:before="60" w:after="60" w:line="240" w:lineRule="auto"/>
        <w:rPr>
          <w:rFonts w:ascii="Brandon Grotesque Regular" w:hAnsi="Brandon Grotesque Regular"/>
          <w:sz w:val="22"/>
          <w:szCs w:val="22"/>
        </w:rPr>
      </w:pPr>
    </w:p>
    <w:p w14:paraId="661302F0" w14:textId="22753666" w:rsidR="00735F47" w:rsidRPr="00836A85" w:rsidRDefault="00735F47" w:rsidP="00836A85">
      <w:pPr>
        <w:spacing w:before="60" w:after="60" w:line="240" w:lineRule="auto"/>
        <w:rPr>
          <w:rFonts w:ascii="Brandon Grotesque Regular" w:hAnsi="Brandon Grotesque Regular"/>
          <w:sz w:val="22"/>
          <w:szCs w:val="22"/>
        </w:rPr>
      </w:pPr>
      <w:r w:rsidRPr="00836A85">
        <w:rPr>
          <w:rFonts w:ascii="Brandon Grotesque Regular" w:hAnsi="Brandon Grotesque Regular"/>
          <w:sz w:val="22"/>
          <w:szCs w:val="22"/>
        </w:rPr>
        <w:t xml:space="preserve">Thank you – and now I will pass back to the Operator to take </w:t>
      </w:r>
      <w:r w:rsidRPr="00836A85">
        <w:rPr>
          <w:rFonts w:ascii="Brandon Grotesque Regular" w:hAnsi="Brandon Grotesque Regular"/>
          <w:b/>
          <w:bCs/>
          <w:sz w:val="22"/>
          <w:szCs w:val="22"/>
        </w:rPr>
        <w:t>questions on our 2025 performance</w:t>
      </w:r>
      <w:r w:rsidRPr="00836A85">
        <w:rPr>
          <w:rFonts w:ascii="Brandon Grotesque Regular" w:hAnsi="Brandon Grotesque Regular"/>
          <w:sz w:val="22"/>
          <w:szCs w:val="22"/>
        </w:rPr>
        <w:t>.</w:t>
      </w:r>
    </w:p>
    <w:p w14:paraId="153C4156" w14:textId="77777777" w:rsidR="00735F47" w:rsidRPr="00836A85" w:rsidRDefault="00735F47" w:rsidP="00836A85">
      <w:pPr>
        <w:spacing w:before="60" w:after="60" w:line="240" w:lineRule="auto"/>
        <w:rPr>
          <w:rFonts w:ascii="Brandon Grotesque Regular" w:hAnsi="Brandon Grotesque Regular"/>
          <w:sz w:val="22"/>
          <w:szCs w:val="22"/>
        </w:rPr>
      </w:pPr>
    </w:p>
    <w:sectPr w:rsidR="00735F47" w:rsidRPr="00836A85" w:rsidSect="004D6D32">
      <w:footerReference w:type="default" r:id="rId8"/>
      <w:headerReference w:type="first" r:id="rId9"/>
      <w:pgSz w:w="11906" w:h="16838"/>
      <w:pgMar w:top="828" w:right="1133" w:bottom="0" w:left="1276" w:header="70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7D910" w14:textId="77777777" w:rsidR="0021060B" w:rsidRDefault="0021060B" w:rsidP="001D4C5C">
      <w:pPr>
        <w:spacing w:after="0" w:line="240" w:lineRule="auto"/>
      </w:pPr>
      <w:r>
        <w:separator/>
      </w:r>
    </w:p>
  </w:endnote>
  <w:endnote w:type="continuationSeparator" w:id="0">
    <w:p w14:paraId="68ECBC10" w14:textId="77777777" w:rsidR="0021060B" w:rsidRDefault="0021060B" w:rsidP="001D4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redit Suisse Type">
    <w:altName w:val="Calibri"/>
    <w:panose1 w:val="00000000000000000000"/>
    <w:charset w:val="00"/>
    <w:family w:val="swiss"/>
    <w:notTrueType/>
    <w:pitch w:val="default"/>
    <w:sig w:usb0="00000003" w:usb1="00000000" w:usb2="00000000" w:usb3="00000000" w:csb0="00000001" w:csb1="00000000"/>
  </w:font>
  <w:font w:name="Brandon Grotesque Regular">
    <w:altName w:val="Calibri"/>
    <w:panose1 w:val="020B0503020203060202"/>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507665394"/>
      <w:docPartObj>
        <w:docPartGallery w:val="Page Numbers (Bottom of Page)"/>
        <w:docPartUnique/>
      </w:docPartObj>
    </w:sdtPr>
    <w:sdtEndPr>
      <w:rPr>
        <w:noProof/>
      </w:rPr>
    </w:sdtEndPr>
    <w:sdtContent>
      <w:p w14:paraId="7CCCFEC6" w14:textId="22A875BA" w:rsidR="00E12137" w:rsidRPr="00E12137" w:rsidRDefault="00E12137" w:rsidP="00E12137">
        <w:pPr>
          <w:pStyle w:val="Footer"/>
          <w:jc w:val="right"/>
          <w:rPr>
            <w:b/>
            <w:bCs/>
            <w:sz w:val="18"/>
            <w:szCs w:val="18"/>
          </w:rPr>
        </w:pPr>
        <w:r w:rsidRPr="00E12137">
          <w:rPr>
            <w:b/>
            <w:bCs/>
            <w:sz w:val="18"/>
            <w:szCs w:val="18"/>
          </w:rPr>
          <w:fldChar w:fldCharType="begin"/>
        </w:r>
        <w:r w:rsidRPr="00E12137">
          <w:rPr>
            <w:b/>
            <w:bCs/>
            <w:sz w:val="18"/>
            <w:szCs w:val="18"/>
          </w:rPr>
          <w:instrText xml:space="preserve"> PAGE   \* MERGEFORMAT </w:instrText>
        </w:r>
        <w:r w:rsidRPr="00E12137">
          <w:rPr>
            <w:b/>
            <w:bCs/>
            <w:sz w:val="18"/>
            <w:szCs w:val="18"/>
          </w:rPr>
          <w:fldChar w:fldCharType="separate"/>
        </w:r>
        <w:r w:rsidRPr="00E12137">
          <w:rPr>
            <w:b/>
            <w:bCs/>
            <w:noProof/>
            <w:sz w:val="18"/>
            <w:szCs w:val="18"/>
          </w:rPr>
          <w:t>2</w:t>
        </w:r>
        <w:r w:rsidRPr="00E12137">
          <w:rPr>
            <w:b/>
            <w:bCs/>
            <w:noProof/>
            <w:sz w:val="18"/>
            <w:szCs w:val="18"/>
          </w:rPr>
          <w:fldChar w:fldCharType="end"/>
        </w:r>
      </w:p>
    </w:sdtContent>
  </w:sdt>
  <w:p w14:paraId="69DED79C" w14:textId="77777777" w:rsidR="00E12137" w:rsidRDefault="00E12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B6303" w14:textId="77777777" w:rsidR="0021060B" w:rsidRDefault="0021060B" w:rsidP="001D4C5C">
      <w:pPr>
        <w:spacing w:after="0" w:line="240" w:lineRule="auto"/>
      </w:pPr>
      <w:r>
        <w:separator/>
      </w:r>
    </w:p>
  </w:footnote>
  <w:footnote w:type="continuationSeparator" w:id="0">
    <w:p w14:paraId="4BD78BD2" w14:textId="77777777" w:rsidR="0021060B" w:rsidRDefault="0021060B" w:rsidP="001D4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3F75" w14:textId="7215EBD4" w:rsidR="00860495" w:rsidRDefault="00860495">
    <w:pPr>
      <w:pStyle w:val="Header"/>
    </w:pPr>
    <w:r>
      <w:rPr>
        <w:noProof/>
        <w:lang w:eastAsia="en-AU"/>
      </w:rPr>
      <w:drawing>
        <wp:anchor distT="0" distB="0" distL="114300" distR="114300" simplePos="0" relativeHeight="251661312" behindDoc="1" locked="0" layoutInCell="1" allowOverlap="1" wp14:anchorId="4E051F32" wp14:editId="3EDAA3A0">
          <wp:simplePos x="0" y="0"/>
          <wp:positionH relativeFrom="page">
            <wp:posOffset>-22225</wp:posOffset>
          </wp:positionH>
          <wp:positionV relativeFrom="paragraph">
            <wp:posOffset>-446405</wp:posOffset>
          </wp:positionV>
          <wp:extent cx="7552055" cy="1028700"/>
          <wp:effectExtent l="0" t="0" r="0" b="0"/>
          <wp:wrapSquare wrapText="bothSides"/>
          <wp:docPr id="1541491366" name="Picture 1541491366" descr="A red and black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33608" name="Picture 372733608" descr="A red and black flag&#10;&#10;AI-generated content may be incorrect."/>
                  <pic:cNvPicPr/>
                </pic:nvPicPr>
                <pic:blipFill rotWithShape="1">
                  <a:blip r:embed="rId1"/>
                  <a:srcRect b="30172"/>
                  <a:stretch>
                    <a:fillRect/>
                  </a:stretch>
                </pic:blipFill>
                <pic:spPr bwMode="auto">
                  <a:xfrm>
                    <a:off x="0" y="0"/>
                    <a:ext cx="7552055"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18E6"/>
    <w:multiLevelType w:val="hybridMultilevel"/>
    <w:tmpl w:val="C35C2542"/>
    <w:lvl w:ilvl="0" w:tplc="EEE465A0">
      <w:start w:val="1"/>
      <w:numFmt w:val="bullet"/>
      <w:pStyle w:val="BodyBullet"/>
      <w:lvlText w:val="l"/>
      <w:lvlJc w:val="left"/>
      <w:pPr>
        <w:ind w:left="720" w:hanging="360"/>
      </w:pPr>
      <w:rPr>
        <w:rFonts w:ascii="Wingdings" w:hAnsi="Wingdings" w:hint="default"/>
        <w:b w:val="0"/>
        <w:i w:val="0"/>
        <w:caps w:val="0"/>
        <w:strike w:val="0"/>
        <w:dstrike w:val="0"/>
        <w:vanish w:val="0"/>
        <w:webHidden w:val="0"/>
        <w:color w:val="003366"/>
        <w:sz w:val="12"/>
        <w:u w:val="none"/>
        <w:effect w:val="none"/>
        <w:vertAlign w:val="baseline"/>
        <w:lang w:val="en-GB"/>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5B3C2B"/>
    <w:multiLevelType w:val="hybridMultilevel"/>
    <w:tmpl w:val="E3F4C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19C244A"/>
    <w:multiLevelType w:val="hybridMultilevel"/>
    <w:tmpl w:val="89D656CC"/>
    <w:lvl w:ilvl="0" w:tplc="CB900DCE">
      <w:start w:val="1"/>
      <w:numFmt w:val="bullet"/>
      <w:lvlText w:val=""/>
      <w:lvlJc w:val="left"/>
      <w:pPr>
        <w:ind w:left="360" w:hanging="360"/>
      </w:pPr>
      <w:rPr>
        <w:rFonts w:ascii="Symbol" w:hAnsi="Symbol" w:hint="default"/>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5D060485"/>
    <w:multiLevelType w:val="hybridMultilevel"/>
    <w:tmpl w:val="C92E9D1A"/>
    <w:lvl w:ilvl="0" w:tplc="837A4A9A">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BD7943"/>
    <w:multiLevelType w:val="hybridMultilevel"/>
    <w:tmpl w:val="4DA424E4"/>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588582950">
    <w:abstractNumId w:val="0"/>
  </w:num>
  <w:num w:numId="2" w16cid:durableId="1531451650">
    <w:abstractNumId w:val="4"/>
  </w:num>
  <w:num w:numId="3" w16cid:durableId="1264148334">
    <w:abstractNumId w:val="1"/>
  </w:num>
  <w:num w:numId="4" w16cid:durableId="31004939">
    <w:abstractNumId w:val="3"/>
  </w:num>
  <w:num w:numId="5" w16cid:durableId="136728887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CB"/>
    <w:rsid w:val="0000299A"/>
    <w:rsid w:val="000033A8"/>
    <w:rsid w:val="000039B5"/>
    <w:rsid w:val="00004760"/>
    <w:rsid w:val="000049F8"/>
    <w:rsid w:val="000051C7"/>
    <w:rsid w:val="00007726"/>
    <w:rsid w:val="00012CCA"/>
    <w:rsid w:val="000139E2"/>
    <w:rsid w:val="00014621"/>
    <w:rsid w:val="00014938"/>
    <w:rsid w:val="00016816"/>
    <w:rsid w:val="00017E82"/>
    <w:rsid w:val="00020A04"/>
    <w:rsid w:val="00020FCF"/>
    <w:rsid w:val="000255D5"/>
    <w:rsid w:val="000264A7"/>
    <w:rsid w:val="000312D6"/>
    <w:rsid w:val="00032264"/>
    <w:rsid w:val="000333B0"/>
    <w:rsid w:val="00033EE8"/>
    <w:rsid w:val="00034AEA"/>
    <w:rsid w:val="00034D1E"/>
    <w:rsid w:val="00034F65"/>
    <w:rsid w:val="000353CC"/>
    <w:rsid w:val="00035705"/>
    <w:rsid w:val="00037B91"/>
    <w:rsid w:val="00037C25"/>
    <w:rsid w:val="00040BBA"/>
    <w:rsid w:val="00040FD2"/>
    <w:rsid w:val="0004252A"/>
    <w:rsid w:val="0004350B"/>
    <w:rsid w:val="000439F5"/>
    <w:rsid w:val="00044078"/>
    <w:rsid w:val="00044A04"/>
    <w:rsid w:val="00053763"/>
    <w:rsid w:val="00055C78"/>
    <w:rsid w:val="00055DE2"/>
    <w:rsid w:val="000571D9"/>
    <w:rsid w:val="00057973"/>
    <w:rsid w:val="00061B66"/>
    <w:rsid w:val="00063380"/>
    <w:rsid w:val="00064200"/>
    <w:rsid w:val="0006658A"/>
    <w:rsid w:val="00070155"/>
    <w:rsid w:val="00070E5A"/>
    <w:rsid w:val="00073425"/>
    <w:rsid w:val="000754CC"/>
    <w:rsid w:val="00075D94"/>
    <w:rsid w:val="00083842"/>
    <w:rsid w:val="00083B68"/>
    <w:rsid w:val="00084264"/>
    <w:rsid w:val="000850FB"/>
    <w:rsid w:val="00085F26"/>
    <w:rsid w:val="00087F78"/>
    <w:rsid w:val="00090DC7"/>
    <w:rsid w:val="000924CA"/>
    <w:rsid w:val="0009265A"/>
    <w:rsid w:val="00094CAC"/>
    <w:rsid w:val="000A2462"/>
    <w:rsid w:val="000A3309"/>
    <w:rsid w:val="000A3894"/>
    <w:rsid w:val="000A4ABB"/>
    <w:rsid w:val="000A6D11"/>
    <w:rsid w:val="000A7979"/>
    <w:rsid w:val="000B0D75"/>
    <w:rsid w:val="000B1DE2"/>
    <w:rsid w:val="000B2F57"/>
    <w:rsid w:val="000B30E0"/>
    <w:rsid w:val="000B7EDB"/>
    <w:rsid w:val="000C03FE"/>
    <w:rsid w:val="000C0A10"/>
    <w:rsid w:val="000C0C8C"/>
    <w:rsid w:val="000C0DBE"/>
    <w:rsid w:val="000C15AD"/>
    <w:rsid w:val="000C1DB6"/>
    <w:rsid w:val="000C2767"/>
    <w:rsid w:val="000C3801"/>
    <w:rsid w:val="000C4D3F"/>
    <w:rsid w:val="000C6FDA"/>
    <w:rsid w:val="000D135A"/>
    <w:rsid w:val="000D2886"/>
    <w:rsid w:val="000D3020"/>
    <w:rsid w:val="000D631D"/>
    <w:rsid w:val="000E0652"/>
    <w:rsid w:val="000E147B"/>
    <w:rsid w:val="000E21D5"/>
    <w:rsid w:val="000E2B16"/>
    <w:rsid w:val="000E3D4B"/>
    <w:rsid w:val="000E6C11"/>
    <w:rsid w:val="000E6CD4"/>
    <w:rsid w:val="000E7BB1"/>
    <w:rsid w:val="000F0851"/>
    <w:rsid w:val="000F09DF"/>
    <w:rsid w:val="000F0F9E"/>
    <w:rsid w:val="000F1463"/>
    <w:rsid w:val="000F344B"/>
    <w:rsid w:val="000F3487"/>
    <w:rsid w:val="000F3C4C"/>
    <w:rsid w:val="000F4064"/>
    <w:rsid w:val="000F4D8A"/>
    <w:rsid w:val="000F7620"/>
    <w:rsid w:val="000F7DD5"/>
    <w:rsid w:val="00100DB2"/>
    <w:rsid w:val="00101830"/>
    <w:rsid w:val="00102232"/>
    <w:rsid w:val="001039CF"/>
    <w:rsid w:val="00103EC0"/>
    <w:rsid w:val="00104905"/>
    <w:rsid w:val="0010503C"/>
    <w:rsid w:val="001110C2"/>
    <w:rsid w:val="00111532"/>
    <w:rsid w:val="00111E42"/>
    <w:rsid w:val="00111F01"/>
    <w:rsid w:val="001126CE"/>
    <w:rsid w:val="00113367"/>
    <w:rsid w:val="001139B6"/>
    <w:rsid w:val="00114E18"/>
    <w:rsid w:val="0011541F"/>
    <w:rsid w:val="00115926"/>
    <w:rsid w:val="0011660B"/>
    <w:rsid w:val="001177F4"/>
    <w:rsid w:val="00120151"/>
    <w:rsid w:val="00121827"/>
    <w:rsid w:val="0012198D"/>
    <w:rsid w:val="00121BCF"/>
    <w:rsid w:val="001224A2"/>
    <w:rsid w:val="00122848"/>
    <w:rsid w:val="0012299F"/>
    <w:rsid w:val="0012343F"/>
    <w:rsid w:val="00123629"/>
    <w:rsid w:val="00123C08"/>
    <w:rsid w:val="00126740"/>
    <w:rsid w:val="001301C8"/>
    <w:rsid w:val="001303AF"/>
    <w:rsid w:val="00130A89"/>
    <w:rsid w:val="0013229E"/>
    <w:rsid w:val="001329DD"/>
    <w:rsid w:val="00133A83"/>
    <w:rsid w:val="001341BD"/>
    <w:rsid w:val="00136837"/>
    <w:rsid w:val="0013798B"/>
    <w:rsid w:val="001408A5"/>
    <w:rsid w:val="001428B2"/>
    <w:rsid w:val="00142D9D"/>
    <w:rsid w:val="00146BDB"/>
    <w:rsid w:val="00147028"/>
    <w:rsid w:val="001471F6"/>
    <w:rsid w:val="001475AA"/>
    <w:rsid w:val="00152E08"/>
    <w:rsid w:val="001535F2"/>
    <w:rsid w:val="0015374B"/>
    <w:rsid w:val="001560AC"/>
    <w:rsid w:val="0015684A"/>
    <w:rsid w:val="0015697D"/>
    <w:rsid w:val="00156E5D"/>
    <w:rsid w:val="00157023"/>
    <w:rsid w:val="00157AF6"/>
    <w:rsid w:val="00160417"/>
    <w:rsid w:val="00160D35"/>
    <w:rsid w:val="001616C8"/>
    <w:rsid w:val="00161896"/>
    <w:rsid w:val="00163042"/>
    <w:rsid w:val="00163476"/>
    <w:rsid w:val="001645C3"/>
    <w:rsid w:val="001660A7"/>
    <w:rsid w:val="00167179"/>
    <w:rsid w:val="00170EBE"/>
    <w:rsid w:val="0017127E"/>
    <w:rsid w:val="001714F8"/>
    <w:rsid w:val="00171962"/>
    <w:rsid w:val="00173F93"/>
    <w:rsid w:val="00174030"/>
    <w:rsid w:val="00174549"/>
    <w:rsid w:val="00175218"/>
    <w:rsid w:val="00180562"/>
    <w:rsid w:val="00180686"/>
    <w:rsid w:val="00185D08"/>
    <w:rsid w:val="00186881"/>
    <w:rsid w:val="00186EDE"/>
    <w:rsid w:val="00187383"/>
    <w:rsid w:val="001904A0"/>
    <w:rsid w:val="00190B4C"/>
    <w:rsid w:val="00192CE6"/>
    <w:rsid w:val="001931F8"/>
    <w:rsid w:val="00193746"/>
    <w:rsid w:val="0019401C"/>
    <w:rsid w:val="00194143"/>
    <w:rsid w:val="00196242"/>
    <w:rsid w:val="00196391"/>
    <w:rsid w:val="00197302"/>
    <w:rsid w:val="00197C86"/>
    <w:rsid w:val="00197D88"/>
    <w:rsid w:val="001A1AE7"/>
    <w:rsid w:val="001A201A"/>
    <w:rsid w:val="001A42E4"/>
    <w:rsid w:val="001A4D7D"/>
    <w:rsid w:val="001A5172"/>
    <w:rsid w:val="001A5B7F"/>
    <w:rsid w:val="001A5F5E"/>
    <w:rsid w:val="001A737C"/>
    <w:rsid w:val="001B0BA1"/>
    <w:rsid w:val="001B10FA"/>
    <w:rsid w:val="001B203C"/>
    <w:rsid w:val="001B32AF"/>
    <w:rsid w:val="001B38BD"/>
    <w:rsid w:val="001B49AD"/>
    <w:rsid w:val="001B4DD4"/>
    <w:rsid w:val="001B5485"/>
    <w:rsid w:val="001B73B6"/>
    <w:rsid w:val="001C1D72"/>
    <w:rsid w:val="001C1DB4"/>
    <w:rsid w:val="001C4022"/>
    <w:rsid w:val="001C56AC"/>
    <w:rsid w:val="001C5BC7"/>
    <w:rsid w:val="001C61E6"/>
    <w:rsid w:val="001C6C73"/>
    <w:rsid w:val="001D071F"/>
    <w:rsid w:val="001D23B0"/>
    <w:rsid w:val="001D2C9A"/>
    <w:rsid w:val="001D3DD4"/>
    <w:rsid w:val="001D3E34"/>
    <w:rsid w:val="001D4C5C"/>
    <w:rsid w:val="001D534C"/>
    <w:rsid w:val="001E0F87"/>
    <w:rsid w:val="001E1CD4"/>
    <w:rsid w:val="001E4B87"/>
    <w:rsid w:val="001E79B8"/>
    <w:rsid w:val="001F0424"/>
    <w:rsid w:val="001F2AD3"/>
    <w:rsid w:val="001F3051"/>
    <w:rsid w:val="001F3BB2"/>
    <w:rsid w:val="001F4C9F"/>
    <w:rsid w:val="001F7321"/>
    <w:rsid w:val="00200F67"/>
    <w:rsid w:val="0020139D"/>
    <w:rsid w:val="0020228C"/>
    <w:rsid w:val="0020323A"/>
    <w:rsid w:val="00204724"/>
    <w:rsid w:val="002048C0"/>
    <w:rsid w:val="002063BA"/>
    <w:rsid w:val="00207002"/>
    <w:rsid w:val="00207628"/>
    <w:rsid w:val="0021060B"/>
    <w:rsid w:val="0021356A"/>
    <w:rsid w:val="00214203"/>
    <w:rsid w:val="0021481F"/>
    <w:rsid w:val="00215FB1"/>
    <w:rsid w:val="00216028"/>
    <w:rsid w:val="002171E2"/>
    <w:rsid w:val="00220615"/>
    <w:rsid w:val="00220825"/>
    <w:rsid w:val="00221C1A"/>
    <w:rsid w:val="0022370A"/>
    <w:rsid w:val="00223BA6"/>
    <w:rsid w:val="00225074"/>
    <w:rsid w:val="00226DA4"/>
    <w:rsid w:val="002276E2"/>
    <w:rsid w:val="0023030F"/>
    <w:rsid w:val="00232170"/>
    <w:rsid w:val="002322D0"/>
    <w:rsid w:val="0023341A"/>
    <w:rsid w:val="0023476D"/>
    <w:rsid w:val="002355F8"/>
    <w:rsid w:val="002365AA"/>
    <w:rsid w:val="002406F6"/>
    <w:rsid w:val="002444AD"/>
    <w:rsid w:val="002452AA"/>
    <w:rsid w:val="00245619"/>
    <w:rsid w:val="00246004"/>
    <w:rsid w:val="002466C5"/>
    <w:rsid w:val="002470E9"/>
    <w:rsid w:val="0024797A"/>
    <w:rsid w:val="0025035A"/>
    <w:rsid w:val="00250810"/>
    <w:rsid w:val="00251385"/>
    <w:rsid w:val="0025151F"/>
    <w:rsid w:val="00253198"/>
    <w:rsid w:val="002601B4"/>
    <w:rsid w:val="002603A0"/>
    <w:rsid w:val="00263391"/>
    <w:rsid w:val="00267058"/>
    <w:rsid w:val="00267917"/>
    <w:rsid w:val="002706A1"/>
    <w:rsid w:val="00270C2C"/>
    <w:rsid w:val="00272A94"/>
    <w:rsid w:val="00272F75"/>
    <w:rsid w:val="0027376D"/>
    <w:rsid w:val="002765BC"/>
    <w:rsid w:val="00276A05"/>
    <w:rsid w:val="0027738B"/>
    <w:rsid w:val="00280362"/>
    <w:rsid w:val="00281505"/>
    <w:rsid w:val="00281DC3"/>
    <w:rsid w:val="00282908"/>
    <w:rsid w:val="00283B80"/>
    <w:rsid w:val="00284F1A"/>
    <w:rsid w:val="00285A6C"/>
    <w:rsid w:val="00286701"/>
    <w:rsid w:val="00286820"/>
    <w:rsid w:val="00286A44"/>
    <w:rsid w:val="00287350"/>
    <w:rsid w:val="00287666"/>
    <w:rsid w:val="002900C8"/>
    <w:rsid w:val="00291D3F"/>
    <w:rsid w:val="002949CE"/>
    <w:rsid w:val="00294EAE"/>
    <w:rsid w:val="00295252"/>
    <w:rsid w:val="002967FC"/>
    <w:rsid w:val="002979B7"/>
    <w:rsid w:val="002A2366"/>
    <w:rsid w:val="002A23E5"/>
    <w:rsid w:val="002A26BA"/>
    <w:rsid w:val="002A3428"/>
    <w:rsid w:val="002A366A"/>
    <w:rsid w:val="002A511B"/>
    <w:rsid w:val="002A6561"/>
    <w:rsid w:val="002A67D4"/>
    <w:rsid w:val="002A7105"/>
    <w:rsid w:val="002B2BAA"/>
    <w:rsid w:val="002B3D91"/>
    <w:rsid w:val="002C05F0"/>
    <w:rsid w:val="002C680A"/>
    <w:rsid w:val="002D173B"/>
    <w:rsid w:val="002D30B7"/>
    <w:rsid w:val="002D431C"/>
    <w:rsid w:val="002D4321"/>
    <w:rsid w:val="002D5988"/>
    <w:rsid w:val="002D778F"/>
    <w:rsid w:val="002E0ED3"/>
    <w:rsid w:val="002E122C"/>
    <w:rsid w:val="002E24AB"/>
    <w:rsid w:val="002E2FCA"/>
    <w:rsid w:val="002E481D"/>
    <w:rsid w:val="002E4DC5"/>
    <w:rsid w:val="002E71AB"/>
    <w:rsid w:val="002E7A10"/>
    <w:rsid w:val="002F0F32"/>
    <w:rsid w:val="002F1907"/>
    <w:rsid w:val="002F23F6"/>
    <w:rsid w:val="002F785B"/>
    <w:rsid w:val="002F7A1F"/>
    <w:rsid w:val="00301401"/>
    <w:rsid w:val="00301B6A"/>
    <w:rsid w:val="00302515"/>
    <w:rsid w:val="0031051B"/>
    <w:rsid w:val="003118AB"/>
    <w:rsid w:val="00311AA8"/>
    <w:rsid w:val="00312917"/>
    <w:rsid w:val="00313C35"/>
    <w:rsid w:val="00313EF6"/>
    <w:rsid w:val="00315E70"/>
    <w:rsid w:val="00317F77"/>
    <w:rsid w:val="00320D5D"/>
    <w:rsid w:val="00321A4E"/>
    <w:rsid w:val="00324418"/>
    <w:rsid w:val="00325655"/>
    <w:rsid w:val="00326126"/>
    <w:rsid w:val="0032740C"/>
    <w:rsid w:val="003275F2"/>
    <w:rsid w:val="003303F0"/>
    <w:rsid w:val="00331786"/>
    <w:rsid w:val="0033469B"/>
    <w:rsid w:val="00334F86"/>
    <w:rsid w:val="003361F3"/>
    <w:rsid w:val="00336B8A"/>
    <w:rsid w:val="00337346"/>
    <w:rsid w:val="00340697"/>
    <w:rsid w:val="00341383"/>
    <w:rsid w:val="003419E2"/>
    <w:rsid w:val="00343CF2"/>
    <w:rsid w:val="00345742"/>
    <w:rsid w:val="00346531"/>
    <w:rsid w:val="00346BFC"/>
    <w:rsid w:val="003475E4"/>
    <w:rsid w:val="00351D2A"/>
    <w:rsid w:val="003521E0"/>
    <w:rsid w:val="00353441"/>
    <w:rsid w:val="00353864"/>
    <w:rsid w:val="00354008"/>
    <w:rsid w:val="003552BA"/>
    <w:rsid w:val="00355F0B"/>
    <w:rsid w:val="00360DD1"/>
    <w:rsid w:val="00362E35"/>
    <w:rsid w:val="00364B30"/>
    <w:rsid w:val="00365372"/>
    <w:rsid w:val="00366E56"/>
    <w:rsid w:val="003677FB"/>
    <w:rsid w:val="003703CC"/>
    <w:rsid w:val="00371849"/>
    <w:rsid w:val="00372A02"/>
    <w:rsid w:val="00374381"/>
    <w:rsid w:val="003744D6"/>
    <w:rsid w:val="00377A4B"/>
    <w:rsid w:val="003810B0"/>
    <w:rsid w:val="00381115"/>
    <w:rsid w:val="00383752"/>
    <w:rsid w:val="00383C08"/>
    <w:rsid w:val="00384155"/>
    <w:rsid w:val="003844A7"/>
    <w:rsid w:val="00385A94"/>
    <w:rsid w:val="00387888"/>
    <w:rsid w:val="0039212E"/>
    <w:rsid w:val="003929B5"/>
    <w:rsid w:val="003955D5"/>
    <w:rsid w:val="00395BAD"/>
    <w:rsid w:val="00396BD7"/>
    <w:rsid w:val="003979CE"/>
    <w:rsid w:val="00397E1D"/>
    <w:rsid w:val="003A129D"/>
    <w:rsid w:val="003A185C"/>
    <w:rsid w:val="003A2AB5"/>
    <w:rsid w:val="003A3D8D"/>
    <w:rsid w:val="003B1EC1"/>
    <w:rsid w:val="003B23B3"/>
    <w:rsid w:val="003B31D7"/>
    <w:rsid w:val="003B3EDF"/>
    <w:rsid w:val="003B5326"/>
    <w:rsid w:val="003B5813"/>
    <w:rsid w:val="003B5895"/>
    <w:rsid w:val="003B628D"/>
    <w:rsid w:val="003B6A43"/>
    <w:rsid w:val="003B77CE"/>
    <w:rsid w:val="003C1A63"/>
    <w:rsid w:val="003C2A8B"/>
    <w:rsid w:val="003C2FD6"/>
    <w:rsid w:val="003C3247"/>
    <w:rsid w:val="003C4877"/>
    <w:rsid w:val="003C7F90"/>
    <w:rsid w:val="003D0085"/>
    <w:rsid w:val="003D177B"/>
    <w:rsid w:val="003D3F83"/>
    <w:rsid w:val="003D4FBC"/>
    <w:rsid w:val="003E0A7F"/>
    <w:rsid w:val="003E14AB"/>
    <w:rsid w:val="003E3C04"/>
    <w:rsid w:val="003E45D6"/>
    <w:rsid w:val="003E6E59"/>
    <w:rsid w:val="003E73F9"/>
    <w:rsid w:val="003F0267"/>
    <w:rsid w:val="003F1FDC"/>
    <w:rsid w:val="003F519D"/>
    <w:rsid w:val="003F5E9D"/>
    <w:rsid w:val="003F6A64"/>
    <w:rsid w:val="003F754F"/>
    <w:rsid w:val="0040256B"/>
    <w:rsid w:val="00402B58"/>
    <w:rsid w:val="00403AF4"/>
    <w:rsid w:val="00403F78"/>
    <w:rsid w:val="00406151"/>
    <w:rsid w:val="004064E8"/>
    <w:rsid w:val="004065D0"/>
    <w:rsid w:val="004067A6"/>
    <w:rsid w:val="00407E90"/>
    <w:rsid w:val="00412859"/>
    <w:rsid w:val="00413785"/>
    <w:rsid w:val="00416A8A"/>
    <w:rsid w:val="00416F9D"/>
    <w:rsid w:val="004178CA"/>
    <w:rsid w:val="00417E84"/>
    <w:rsid w:val="00417EF0"/>
    <w:rsid w:val="004209C6"/>
    <w:rsid w:val="0042254F"/>
    <w:rsid w:val="0042395F"/>
    <w:rsid w:val="0042576A"/>
    <w:rsid w:val="0042600F"/>
    <w:rsid w:val="0043237B"/>
    <w:rsid w:val="004343BF"/>
    <w:rsid w:val="004352B2"/>
    <w:rsid w:val="00437A3D"/>
    <w:rsid w:val="00437EB2"/>
    <w:rsid w:val="00437FE7"/>
    <w:rsid w:val="0044177C"/>
    <w:rsid w:val="004455D7"/>
    <w:rsid w:val="00446428"/>
    <w:rsid w:val="00446676"/>
    <w:rsid w:val="004466A8"/>
    <w:rsid w:val="0044684A"/>
    <w:rsid w:val="00451603"/>
    <w:rsid w:val="00451825"/>
    <w:rsid w:val="004564CC"/>
    <w:rsid w:val="0046283C"/>
    <w:rsid w:val="0046287E"/>
    <w:rsid w:val="004637DC"/>
    <w:rsid w:val="004640B7"/>
    <w:rsid w:val="004670D5"/>
    <w:rsid w:val="00470404"/>
    <w:rsid w:val="00470E4B"/>
    <w:rsid w:val="0047212A"/>
    <w:rsid w:val="004726C2"/>
    <w:rsid w:val="00473636"/>
    <w:rsid w:val="00473F64"/>
    <w:rsid w:val="0047493C"/>
    <w:rsid w:val="0047641A"/>
    <w:rsid w:val="0047654A"/>
    <w:rsid w:val="0047772F"/>
    <w:rsid w:val="00477ECA"/>
    <w:rsid w:val="004809BB"/>
    <w:rsid w:val="00481BC1"/>
    <w:rsid w:val="004826D9"/>
    <w:rsid w:val="004831B2"/>
    <w:rsid w:val="00484885"/>
    <w:rsid w:val="00484A38"/>
    <w:rsid w:val="00490FF8"/>
    <w:rsid w:val="0049206E"/>
    <w:rsid w:val="004929F3"/>
    <w:rsid w:val="00494B4C"/>
    <w:rsid w:val="004973B8"/>
    <w:rsid w:val="0049744E"/>
    <w:rsid w:val="00497E84"/>
    <w:rsid w:val="004A00F9"/>
    <w:rsid w:val="004A0AC9"/>
    <w:rsid w:val="004A0B9F"/>
    <w:rsid w:val="004A2370"/>
    <w:rsid w:val="004A35BC"/>
    <w:rsid w:val="004A521B"/>
    <w:rsid w:val="004A57D8"/>
    <w:rsid w:val="004A78F4"/>
    <w:rsid w:val="004B08FD"/>
    <w:rsid w:val="004B192B"/>
    <w:rsid w:val="004B2759"/>
    <w:rsid w:val="004B2BAF"/>
    <w:rsid w:val="004B468D"/>
    <w:rsid w:val="004B5BF0"/>
    <w:rsid w:val="004B5E95"/>
    <w:rsid w:val="004B6817"/>
    <w:rsid w:val="004B6BE0"/>
    <w:rsid w:val="004B7394"/>
    <w:rsid w:val="004C04F9"/>
    <w:rsid w:val="004C2E53"/>
    <w:rsid w:val="004C417B"/>
    <w:rsid w:val="004C49CA"/>
    <w:rsid w:val="004C5B99"/>
    <w:rsid w:val="004C7046"/>
    <w:rsid w:val="004C7626"/>
    <w:rsid w:val="004C7806"/>
    <w:rsid w:val="004D0CC1"/>
    <w:rsid w:val="004D0CCF"/>
    <w:rsid w:val="004D2109"/>
    <w:rsid w:val="004D59B7"/>
    <w:rsid w:val="004D6D32"/>
    <w:rsid w:val="004E1A47"/>
    <w:rsid w:val="004E1C51"/>
    <w:rsid w:val="004E4479"/>
    <w:rsid w:val="004E7D57"/>
    <w:rsid w:val="004F3ED4"/>
    <w:rsid w:val="004F65E5"/>
    <w:rsid w:val="0050127B"/>
    <w:rsid w:val="00501612"/>
    <w:rsid w:val="005019C1"/>
    <w:rsid w:val="00503406"/>
    <w:rsid w:val="00503A21"/>
    <w:rsid w:val="005049C5"/>
    <w:rsid w:val="0050523F"/>
    <w:rsid w:val="005079D4"/>
    <w:rsid w:val="00511D9D"/>
    <w:rsid w:val="00515A8C"/>
    <w:rsid w:val="00515F8B"/>
    <w:rsid w:val="00516942"/>
    <w:rsid w:val="00516C1E"/>
    <w:rsid w:val="00517494"/>
    <w:rsid w:val="00521337"/>
    <w:rsid w:val="0052224B"/>
    <w:rsid w:val="00522BEA"/>
    <w:rsid w:val="00522D26"/>
    <w:rsid w:val="00523B41"/>
    <w:rsid w:val="00525FBE"/>
    <w:rsid w:val="00526E1F"/>
    <w:rsid w:val="00530848"/>
    <w:rsid w:val="0053167F"/>
    <w:rsid w:val="0053348F"/>
    <w:rsid w:val="00533878"/>
    <w:rsid w:val="00533DB8"/>
    <w:rsid w:val="00535D32"/>
    <w:rsid w:val="00537624"/>
    <w:rsid w:val="00542A72"/>
    <w:rsid w:val="005433D0"/>
    <w:rsid w:val="0054344E"/>
    <w:rsid w:val="00543CC6"/>
    <w:rsid w:val="00545FB4"/>
    <w:rsid w:val="00550324"/>
    <w:rsid w:val="005508FD"/>
    <w:rsid w:val="00550CD0"/>
    <w:rsid w:val="00551DCE"/>
    <w:rsid w:val="00552571"/>
    <w:rsid w:val="005551DA"/>
    <w:rsid w:val="00555743"/>
    <w:rsid w:val="0055594E"/>
    <w:rsid w:val="00555C18"/>
    <w:rsid w:val="00557017"/>
    <w:rsid w:val="00557B5A"/>
    <w:rsid w:val="00560B6F"/>
    <w:rsid w:val="00560B7B"/>
    <w:rsid w:val="005618BA"/>
    <w:rsid w:val="005624DE"/>
    <w:rsid w:val="005643C7"/>
    <w:rsid w:val="005650ED"/>
    <w:rsid w:val="005662E9"/>
    <w:rsid w:val="00572A35"/>
    <w:rsid w:val="00574F84"/>
    <w:rsid w:val="00575A28"/>
    <w:rsid w:val="0057742C"/>
    <w:rsid w:val="00580271"/>
    <w:rsid w:val="00581390"/>
    <w:rsid w:val="00581797"/>
    <w:rsid w:val="00581E77"/>
    <w:rsid w:val="00583686"/>
    <w:rsid w:val="00584286"/>
    <w:rsid w:val="005854CA"/>
    <w:rsid w:val="00585A28"/>
    <w:rsid w:val="00586D0A"/>
    <w:rsid w:val="005905BA"/>
    <w:rsid w:val="00590C99"/>
    <w:rsid w:val="00591E61"/>
    <w:rsid w:val="00593393"/>
    <w:rsid w:val="005933F6"/>
    <w:rsid w:val="00594D08"/>
    <w:rsid w:val="005952C3"/>
    <w:rsid w:val="00595A87"/>
    <w:rsid w:val="00597E5C"/>
    <w:rsid w:val="005A0BB1"/>
    <w:rsid w:val="005A11E1"/>
    <w:rsid w:val="005A1864"/>
    <w:rsid w:val="005A1AF2"/>
    <w:rsid w:val="005A591D"/>
    <w:rsid w:val="005A6A20"/>
    <w:rsid w:val="005A6F4A"/>
    <w:rsid w:val="005B069A"/>
    <w:rsid w:val="005B2393"/>
    <w:rsid w:val="005B2833"/>
    <w:rsid w:val="005B3059"/>
    <w:rsid w:val="005B3662"/>
    <w:rsid w:val="005B3AF0"/>
    <w:rsid w:val="005B4317"/>
    <w:rsid w:val="005B4E9A"/>
    <w:rsid w:val="005C0EE0"/>
    <w:rsid w:val="005C1989"/>
    <w:rsid w:val="005C1992"/>
    <w:rsid w:val="005C28A9"/>
    <w:rsid w:val="005C3374"/>
    <w:rsid w:val="005C651F"/>
    <w:rsid w:val="005C668B"/>
    <w:rsid w:val="005C7AEB"/>
    <w:rsid w:val="005D12FA"/>
    <w:rsid w:val="005D24D8"/>
    <w:rsid w:val="005D29D2"/>
    <w:rsid w:val="005D3227"/>
    <w:rsid w:val="005D3B68"/>
    <w:rsid w:val="005D4224"/>
    <w:rsid w:val="005D464A"/>
    <w:rsid w:val="005D4D02"/>
    <w:rsid w:val="005D6E69"/>
    <w:rsid w:val="005E1792"/>
    <w:rsid w:val="005E2AA0"/>
    <w:rsid w:val="005E54D7"/>
    <w:rsid w:val="005E6352"/>
    <w:rsid w:val="005E68D8"/>
    <w:rsid w:val="005E6EDF"/>
    <w:rsid w:val="005F057B"/>
    <w:rsid w:val="005F1F86"/>
    <w:rsid w:val="005F2831"/>
    <w:rsid w:val="005F48FA"/>
    <w:rsid w:val="005F4FAE"/>
    <w:rsid w:val="005F52AF"/>
    <w:rsid w:val="005F6413"/>
    <w:rsid w:val="005F650D"/>
    <w:rsid w:val="006002C4"/>
    <w:rsid w:val="0060031C"/>
    <w:rsid w:val="00600722"/>
    <w:rsid w:val="006029D9"/>
    <w:rsid w:val="00602D57"/>
    <w:rsid w:val="006040D2"/>
    <w:rsid w:val="00604C32"/>
    <w:rsid w:val="006059CF"/>
    <w:rsid w:val="006079A9"/>
    <w:rsid w:val="006105A7"/>
    <w:rsid w:val="0061079F"/>
    <w:rsid w:val="006108F5"/>
    <w:rsid w:val="00611529"/>
    <w:rsid w:val="00611841"/>
    <w:rsid w:val="00613256"/>
    <w:rsid w:val="00614F5C"/>
    <w:rsid w:val="006176E7"/>
    <w:rsid w:val="00617E7F"/>
    <w:rsid w:val="0062290E"/>
    <w:rsid w:val="00622C9A"/>
    <w:rsid w:val="006233B7"/>
    <w:rsid w:val="00623560"/>
    <w:rsid w:val="0062528A"/>
    <w:rsid w:val="00625943"/>
    <w:rsid w:val="00627490"/>
    <w:rsid w:val="0063537F"/>
    <w:rsid w:val="00635C80"/>
    <w:rsid w:val="00635F01"/>
    <w:rsid w:val="006373B2"/>
    <w:rsid w:val="00637BCC"/>
    <w:rsid w:val="006445EC"/>
    <w:rsid w:val="00645601"/>
    <w:rsid w:val="00646370"/>
    <w:rsid w:val="0065253A"/>
    <w:rsid w:val="00652801"/>
    <w:rsid w:val="00653F0F"/>
    <w:rsid w:val="006545FB"/>
    <w:rsid w:val="00656706"/>
    <w:rsid w:val="00660CE3"/>
    <w:rsid w:val="00663419"/>
    <w:rsid w:val="00663AD8"/>
    <w:rsid w:val="0066435C"/>
    <w:rsid w:val="00665436"/>
    <w:rsid w:val="0066666E"/>
    <w:rsid w:val="00666C6D"/>
    <w:rsid w:val="00667715"/>
    <w:rsid w:val="00671070"/>
    <w:rsid w:val="0067176F"/>
    <w:rsid w:val="00671E5E"/>
    <w:rsid w:val="00671E7A"/>
    <w:rsid w:val="00672F5D"/>
    <w:rsid w:val="00673CC9"/>
    <w:rsid w:val="0067603E"/>
    <w:rsid w:val="00676BC5"/>
    <w:rsid w:val="00676CEF"/>
    <w:rsid w:val="006770DE"/>
    <w:rsid w:val="00677D2D"/>
    <w:rsid w:val="00683C2F"/>
    <w:rsid w:val="00685680"/>
    <w:rsid w:val="006878C9"/>
    <w:rsid w:val="0069148E"/>
    <w:rsid w:val="00691CE4"/>
    <w:rsid w:val="00692F13"/>
    <w:rsid w:val="00694C70"/>
    <w:rsid w:val="00695AD6"/>
    <w:rsid w:val="0069634F"/>
    <w:rsid w:val="0069649C"/>
    <w:rsid w:val="00697744"/>
    <w:rsid w:val="00697831"/>
    <w:rsid w:val="006A1289"/>
    <w:rsid w:val="006A1AB4"/>
    <w:rsid w:val="006A2421"/>
    <w:rsid w:val="006A2948"/>
    <w:rsid w:val="006A32C3"/>
    <w:rsid w:val="006A430C"/>
    <w:rsid w:val="006A4785"/>
    <w:rsid w:val="006A4B6F"/>
    <w:rsid w:val="006A4C90"/>
    <w:rsid w:val="006A52A3"/>
    <w:rsid w:val="006A6469"/>
    <w:rsid w:val="006A680D"/>
    <w:rsid w:val="006A745A"/>
    <w:rsid w:val="006A7FAC"/>
    <w:rsid w:val="006B0785"/>
    <w:rsid w:val="006B120D"/>
    <w:rsid w:val="006B183D"/>
    <w:rsid w:val="006B29D7"/>
    <w:rsid w:val="006B2C1B"/>
    <w:rsid w:val="006B318E"/>
    <w:rsid w:val="006B3F41"/>
    <w:rsid w:val="006B444F"/>
    <w:rsid w:val="006B5CDF"/>
    <w:rsid w:val="006C17B1"/>
    <w:rsid w:val="006C27E2"/>
    <w:rsid w:val="006C391F"/>
    <w:rsid w:val="006C3C10"/>
    <w:rsid w:val="006C56DE"/>
    <w:rsid w:val="006C5AEA"/>
    <w:rsid w:val="006C5B90"/>
    <w:rsid w:val="006C618F"/>
    <w:rsid w:val="006D0CC8"/>
    <w:rsid w:val="006D12E1"/>
    <w:rsid w:val="006D34A0"/>
    <w:rsid w:val="006D454C"/>
    <w:rsid w:val="006E0200"/>
    <w:rsid w:val="006E050E"/>
    <w:rsid w:val="006E0BC5"/>
    <w:rsid w:val="006E0C46"/>
    <w:rsid w:val="006E1AB4"/>
    <w:rsid w:val="006E372D"/>
    <w:rsid w:val="006E392E"/>
    <w:rsid w:val="006E3E27"/>
    <w:rsid w:val="006E48CB"/>
    <w:rsid w:val="006E62ED"/>
    <w:rsid w:val="006E7152"/>
    <w:rsid w:val="006F1164"/>
    <w:rsid w:val="006F36E7"/>
    <w:rsid w:val="006F380A"/>
    <w:rsid w:val="006F3BC4"/>
    <w:rsid w:val="006F46B9"/>
    <w:rsid w:val="006F78DF"/>
    <w:rsid w:val="00702548"/>
    <w:rsid w:val="00702590"/>
    <w:rsid w:val="00702E66"/>
    <w:rsid w:val="007033F4"/>
    <w:rsid w:val="00704C54"/>
    <w:rsid w:val="0070556C"/>
    <w:rsid w:val="00705DD5"/>
    <w:rsid w:val="00706F2A"/>
    <w:rsid w:val="00707CB8"/>
    <w:rsid w:val="007100FA"/>
    <w:rsid w:val="00711F45"/>
    <w:rsid w:val="007148F0"/>
    <w:rsid w:val="007161B5"/>
    <w:rsid w:val="00716AB9"/>
    <w:rsid w:val="00716B63"/>
    <w:rsid w:val="0072001E"/>
    <w:rsid w:val="00720F3C"/>
    <w:rsid w:val="0072120C"/>
    <w:rsid w:val="00722580"/>
    <w:rsid w:val="0072382F"/>
    <w:rsid w:val="0072429A"/>
    <w:rsid w:val="00724D6C"/>
    <w:rsid w:val="00725652"/>
    <w:rsid w:val="00727381"/>
    <w:rsid w:val="007321AB"/>
    <w:rsid w:val="00732B83"/>
    <w:rsid w:val="0073571E"/>
    <w:rsid w:val="00735F47"/>
    <w:rsid w:val="00737FB1"/>
    <w:rsid w:val="007406CB"/>
    <w:rsid w:val="0074095F"/>
    <w:rsid w:val="0074469D"/>
    <w:rsid w:val="0074544B"/>
    <w:rsid w:val="00745E3E"/>
    <w:rsid w:val="007460AC"/>
    <w:rsid w:val="007461BA"/>
    <w:rsid w:val="007462AA"/>
    <w:rsid w:val="00746717"/>
    <w:rsid w:val="007504A0"/>
    <w:rsid w:val="00753F40"/>
    <w:rsid w:val="007546A6"/>
    <w:rsid w:val="007546CB"/>
    <w:rsid w:val="007552E6"/>
    <w:rsid w:val="00760151"/>
    <w:rsid w:val="00760C87"/>
    <w:rsid w:val="00761E76"/>
    <w:rsid w:val="00763D26"/>
    <w:rsid w:val="00763EAD"/>
    <w:rsid w:val="00763F75"/>
    <w:rsid w:val="0076677A"/>
    <w:rsid w:val="00766CDB"/>
    <w:rsid w:val="007672A7"/>
    <w:rsid w:val="00767794"/>
    <w:rsid w:val="00770A2C"/>
    <w:rsid w:val="00773390"/>
    <w:rsid w:val="0077358A"/>
    <w:rsid w:val="0077462E"/>
    <w:rsid w:val="00775BD7"/>
    <w:rsid w:val="00776C6F"/>
    <w:rsid w:val="00776D7D"/>
    <w:rsid w:val="00781868"/>
    <w:rsid w:val="00782139"/>
    <w:rsid w:val="00783A86"/>
    <w:rsid w:val="007847D9"/>
    <w:rsid w:val="00784EC4"/>
    <w:rsid w:val="007852E1"/>
    <w:rsid w:val="007856FB"/>
    <w:rsid w:val="007912C0"/>
    <w:rsid w:val="00791351"/>
    <w:rsid w:val="007913C7"/>
    <w:rsid w:val="007948B1"/>
    <w:rsid w:val="00797369"/>
    <w:rsid w:val="00797E72"/>
    <w:rsid w:val="007A1076"/>
    <w:rsid w:val="007A18F6"/>
    <w:rsid w:val="007A24CD"/>
    <w:rsid w:val="007A2987"/>
    <w:rsid w:val="007A3C6C"/>
    <w:rsid w:val="007A3FFA"/>
    <w:rsid w:val="007A422E"/>
    <w:rsid w:val="007A54FF"/>
    <w:rsid w:val="007A5C4F"/>
    <w:rsid w:val="007A7B58"/>
    <w:rsid w:val="007B5CCC"/>
    <w:rsid w:val="007B5D75"/>
    <w:rsid w:val="007B6F97"/>
    <w:rsid w:val="007C0877"/>
    <w:rsid w:val="007C0879"/>
    <w:rsid w:val="007C59A5"/>
    <w:rsid w:val="007C6DAF"/>
    <w:rsid w:val="007D0D80"/>
    <w:rsid w:val="007D162E"/>
    <w:rsid w:val="007D2BFE"/>
    <w:rsid w:val="007D56A6"/>
    <w:rsid w:val="007D7BCA"/>
    <w:rsid w:val="007E0F89"/>
    <w:rsid w:val="007E3BCC"/>
    <w:rsid w:val="007E478A"/>
    <w:rsid w:val="007E4E36"/>
    <w:rsid w:val="007F0DB6"/>
    <w:rsid w:val="007F1259"/>
    <w:rsid w:val="007F20B4"/>
    <w:rsid w:val="007F21B1"/>
    <w:rsid w:val="007F3BD1"/>
    <w:rsid w:val="007F5506"/>
    <w:rsid w:val="007F6A44"/>
    <w:rsid w:val="008016F5"/>
    <w:rsid w:val="00801849"/>
    <w:rsid w:val="00802502"/>
    <w:rsid w:val="00802CF4"/>
    <w:rsid w:val="0080304F"/>
    <w:rsid w:val="00803768"/>
    <w:rsid w:val="00803AAA"/>
    <w:rsid w:val="00803E57"/>
    <w:rsid w:val="00803FE6"/>
    <w:rsid w:val="0080472E"/>
    <w:rsid w:val="00804E8B"/>
    <w:rsid w:val="00806FC0"/>
    <w:rsid w:val="00807444"/>
    <w:rsid w:val="00811672"/>
    <w:rsid w:val="00811D3E"/>
    <w:rsid w:val="00811FEC"/>
    <w:rsid w:val="00812223"/>
    <w:rsid w:val="00814097"/>
    <w:rsid w:val="008146DE"/>
    <w:rsid w:val="00814783"/>
    <w:rsid w:val="00814B65"/>
    <w:rsid w:val="008156B5"/>
    <w:rsid w:val="00815F0A"/>
    <w:rsid w:val="008162C3"/>
    <w:rsid w:val="00820409"/>
    <w:rsid w:val="00821F4F"/>
    <w:rsid w:val="00823575"/>
    <w:rsid w:val="00824275"/>
    <w:rsid w:val="00825476"/>
    <w:rsid w:val="00825864"/>
    <w:rsid w:val="00825932"/>
    <w:rsid w:val="00830010"/>
    <w:rsid w:val="00830A9E"/>
    <w:rsid w:val="008319EF"/>
    <w:rsid w:val="0083305C"/>
    <w:rsid w:val="00833145"/>
    <w:rsid w:val="00834DED"/>
    <w:rsid w:val="00835306"/>
    <w:rsid w:val="0083595A"/>
    <w:rsid w:val="00836A85"/>
    <w:rsid w:val="00836D9C"/>
    <w:rsid w:val="00841971"/>
    <w:rsid w:val="00843D34"/>
    <w:rsid w:val="00844E55"/>
    <w:rsid w:val="008470EA"/>
    <w:rsid w:val="00847A2A"/>
    <w:rsid w:val="008505BB"/>
    <w:rsid w:val="00850BC3"/>
    <w:rsid w:val="00851155"/>
    <w:rsid w:val="00851363"/>
    <w:rsid w:val="0085153B"/>
    <w:rsid w:val="008528CB"/>
    <w:rsid w:val="00855F8A"/>
    <w:rsid w:val="00856ABE"/>
    <w:rsid w:val="00860495"/>
    <w:rsid w:val="00860725"/>
    <w:rsid w:val="0086364E"/>
    <w:rsid w:val="0086377F"/>
    <w:rsid w:val="00864F3F"/>
    <w:rsid w:val="00865A58"/>
    <w:rsid w:val="00866348"/>
    <w:rsid w:val="0087000F"/>
    <w:rsid w:val="00871736"/>
    <w:rsid w:val="00871DF5"/>
    <w:rsid w:val="008720D2"/>
    <w:rsid w:val="00872999"/>
    <w:rsid w:val="0087455A"/>
    <w:rsid w:val="008747DC"/>
    <w:rsid w:val="00875740"/>
    <w:rsid w:val="00875E32"/>
    <w:rsid w:val="00875E96"/>
    <w:rsid w:val="0087729A"/>
    <w:rsid w:val="008818D5"/>
    <w:rsid w:val="00883231"/>
    <w:rsid w:val="00884378"/>
    <w:rsid w:val="00884C7F"/>
    <w:rsid w:val="00885797"/>
    <w:rsid w:val="00885A73"/>
    <w:rsid w:val="00886CBB"/>
    <w:rsid w:val="0089071B"/>
    <w:rsid w:val="00891A80"/>
    <w:rsid w:val="00891E0F"/>
    <w:rsid w:val="00891F24"/>
    <w:rsid w:val="00892CDB"/>
    <w:rsid w:val="00897741"/>
    <w:rsid w:val="00897D33"/>
    <w:rsid w:val="00897EF4"/>
    <w:rsid w:val="008A22B0"/>
    <w:rsid w:val="008A37F3"/>
    <w:rsid w:val="008A5C54"/>
    <w:rsid w:val="008A5E5A"/>
    <w:rsid w:val="008B048B"/>
    <w:rsid w:val="008B1D13"/>
    <w:rsid w:val="008B29D8"/>
    <w:rsid w:val="008B4BE7"/>
    <w:rsid w:val="008C0992"/>
    <w:rsid w:val="008C0B94"/>
    <w:rsid w:val="008C1B9D"/>
    <w:rsid w:val="008C2EED"/>
    <w:rsid w:val="008C60BD"/>
    <w:rsid w:val="008C62B5"/>
    <w:rsid w:val="008C6A2C"/>
    <w:rsid w:val="008D1214"/>
    <w:rsid w:val="008D4F8A"/>
    <w:rsid w:val="008D61C5"/>
    <w:rsid w:val="008D7362"/>
    <w:rsid w:val="008D7A8C"/>
    <w:rsid w:val="008E0D54"/>
    <w:rsid w:val="008E42B4"/>
    <w:rsid w:val="008E719C"/>
    <w:rsid w:val="008E7447"/>
    <w:rsid w:val="008E7562"/>
    <w:rsid w:val="008F00A7"/>
    <w:rsid w:val="008F0259"/>
    <w:rsid w:val="008F0A39"/>
    <w:rsid w:val="008F0E1A"/>
    <w:rsid w:val="008F2B18"/>
    <w:rsid w:val="008F4C46"/>
    <w:rsid w:val="008F550C"/>
    <w:rsid w:val="008F5CA2"/>
    <w:rsid w:val="008F6033"/>
    <w:rsid w:val="008F7A54"/>
    <w:rsid w:val="00900DF7"/>
    <w:rsid w:val="00900E0D"/>
    <w:rsid w:val="00902008"/>
    <w:rsid w:val="00902F16"/>
    <w:rsid w:val="00904A7A"/>
    <w:rsid w:val="0090547A"/>
    <w:rsid w:val="0091151A"/>
    <w:rsid w:val="0091244D"/>
    <w:rsid w:val="009125D0"/>
    <w:rsid w:val="00913C4C"/>
    <w:rsid w:val="00913EE4"/>
    <w:rsid w:val="009173FF"/>
    <w:rsid w:val="009200D0"/>
    <w:rsid w:val="00920399"/>
    <w:rsid w:val="00921C85"/>
    <w:rsid w:val="00921EE9"/>
    <w:rsid w:val="00922179"/>
    <w:rsid w:val="00923069"/>
    <w:rsid w:val="00923651"/>
    <w:rsid w:val="00923C84"/>
    <w:rsid w:val="00924515"/>
    <w:rsid w:val="00924BE1"/>
    <w:rsid w:val="00924E16"/>
    <w:rsid w:val="0092730A"/>
    <w:rsid w:val="00927459"/>
    <w:rsid w:val="009278F6"/>
    <w:rsid w:val="009307FB"/>
    <w:rsid w:val="00931171"/>
    <w:rsid w:val="00931219"/>
    <w:rsid w:val="00931A95"/>
    <w:rsid w:val="00931D3B"/>
    <w:rsid w:val="00931E64"/>
    <w:rsid w:val="00932539"/>
    <w:rsid w:val="00932767"/>
    <w:rsid w:val="00932E42"/>
    <w:rsid w:val="00933ED5"/>
    <w:rsid w:val="00936403"/>
    <w:rsid w:val="0094016D"/>
    <w:rsid w:val="0094083D"/>
    <w:rsid w:val="009424DC"/>
    <w:rsid w:val="00943020"/>
    <w:rsid w:val="00943DC9"/>
    <w:rsid w:val="00945AA2"/>
    <w:rsid w:val="009505D6"/>
    <w:rsid w:val="0095061F"/>
    <w:rsid w:val="00951033"/>
    <w:rsid w:val="00953877"/>
    <w:rsid w:val="00953E1D"/>
    <w:rsid w:val="00953F7C"/>
    <w:rsid w:val="0095613F"/>
    <w:rsid w:val="00957FE4"/>
    <w:rsid w:val="009604ED"/>
    <w:rsid w:val="00960517"/>
    <w:rsid w:val="0096178D"/>
    <w:rsid w:val="00961E7C"/>
    <w:rsid w:val="00964039"/>
    <w:rsid w:val="00965497"/>
    <w:rsid w:val="00966A2D"/>
    <w:rsid w:val="00967D73"/>
    <w:rsid w:val="009701D9"/>
    <w:rsid w:val="00970BAD"/>
    <w:rsid w:val="009722EC"/>
    <w:rsid w:val="00972F36"/>
    <w:rsid w:val="00973254"/>
    <w:rsid w:val="00975029"/>
    <w:rsid w:val="00975169"/>
    <w:rsid w:val="0098043A"/>
    <w:rsid w:val="00981584"/>
    <w:rsid w:val="009815A3"/>
    <w:rsid w:val="0098202F"/>
    <w:rsid w:val="00982069"/>
    <w:rsid w:val="0098304B"/>
    <w:rsid w:val="00984208"/>
    <w:rsid w:val="00984224"/>
    <w:rsid w:val="00986369"/>
    <w:rsid w:val="0099288B"/>
    <w:rsid w:val="00993F15"/>
    <w:rsid w:val="00994454"/>
    <w:rsid w:val="00996624"/>
    <w:rsid w:val="00997DDB"/>
    <w:rsid w:val="009A0092"/>
    <w:rsid w:val="009A27BF"/>
    <w:rsid w:val="009A3F16"/>
    <w:rsid w:val="009A4E5A"/>
    <w:rsid w:val="009A59A5"/>
    <w:rsid w:val="009A6F0C"/>
    <w:rsid w:val="009B03F7"/>
    <w:rsid w:val="009B046A"/>
    <w:rsid w:val="009B1C65"/>
    <w:rsid w:val="009B3696"/>
    <w:rsid w:val="009B585A"/>
    <w:rsid w:val="009B7616"/>
    <w:rsid w:val="009C1508"/>
    <w:rsid w:val="009C1E63"/>
    <w:rsid w:val="009C3316"/>
    <w:rsid w:val="009C5384"/>
    <w:rsid w:val="009C58D3"/>
    <w:rsid w:val="009C6FF4"/>
    <w:rsid w:val="009C7324"/>
    <w:rsid w:val="009C759A"/>
    <w:rsid w:val="009D057E"/>
    <w:rsid w:val="009D130A"/>
    <w:rsid w:val="009D1D3E"/>
    <w:rsid w:val="009D7217"/>
    <w:rsid w:val="009D74A7"/>
    <w:rsid w:val="009E0590"/>
    <w:rsid w:val="009E0813"/>
    <w:rsid w:val="009E0BF3"/>
    <w:rsid w:val="009E127D"/>
    <w:rsid w:val="009E20D3"/>
    <w:rsid w:val="009E223A"/>
    <w:rsid w:val="009E28C1"/>
    <w:rsid w:val="009E4135"/>
    <w:rsid w:val="009F0C04"/>
    <w:rsid w:val="009F1076"/>
    <w:rsid w:val="009F11EF"/>
    <w:rsid w:val="009F1264"/>
    <w:rsid w:val="009F12BA"/>
    <w:rsid w:val="009F1327"/>
    <w:rsid w:val="009F21BA"/>
    <w:rsid w:val="009F337C"/>
    <w:rsid w:val="009F67CE"/>
    <w:rsid w:val="00A010D2"/>
    <w:rsid w:val="00A01906"/>
    <w:rsid w:val="00A03679"/>
    <w:rsid w:val="00A04995"/>
    <w:rsid w:val="00A04A6A"/>
    <w:rsid w:val="00A05660"/>
    <w:rsid w:val="00A06369"/>
    <w:rsid w:val="00A065B9"/>
    <w:rsid w:val="00A06640"/>
    <w:rsid w:val="00A1108F"/>
    <w:rsid w:val="00A1293C"/>
    <w:rsid w:val="00A1333B"/>
    <w:rsid w:val="00A14097"/>
    <w:rsid w:val="00A156F0"/>
    <w:rsid w:val="00A15913"/>
    <w:rsid w:val="00A16768"/>
    <w:rsid w:val="00A1703A"/>
    <w:rsid w:val="00A17C8E"/>
    <w:rsid w:val="00A24764"/>
    <w:rsid w:val="00A257EC"/>
    <w:rsid w:val="00A25AFA"/>
    <w:rsid w:val="00A27DBC"/>
    <w:rsid w:val="00A301D1"/>
    <w:rsid w:val="00A310C4"/>
    <w:rsid w:val="00A31272"/>
    <w:rsid w:val="00A3152B"/>
    <w:rsid w:val="00A323AA"/>
    <w:rsid w:val="00A32A41"/>
    <w:rsid w:val="00A33A43"/>
    <w:rsid w:val="00A365E1"/>
    <w:rsid w:val="00A40F97"/>
    <w:rsid w:val="00A4108A"/>
    <w:rsid w:val="00A42CC4"/>
    <w:rsid w:val="00A43EEA"/>
    <w:rsid w:val="00A45CC3"/>
    <w:rsid w:val="00A45CE0"/>
    <w:rsid w:val="00A462C4"/>
    <w:rsid w:val="00A47219"/>
    <w:rsid w:val="00A47F45"/>
    <w:rsid w:val="00A5029D"/>
    <w:rsid w:val="00A5238F"/>
    <w:rsid w:val="00A52C5D"/>
    <w:rsid w:val="00A53FCE"/>
    <w:rsid w:val="00A53FE0"/>
    <w:rsid w:val="00A54052"/>
    <w:rsid w:val="00A548E9"/>
    <w:rsid w:val="00A556E6"/>
    <w:rsid w:val="00A563CD"/>
    <w:rsid w:val="00A5643F"/>
    <w:rsid w:val="00A566B0"/>
    <w:rsid w:val="00A57E43"/>
    <w:rsid w:val="00A6009F"/>
    <w:rsid w:val="00A60588"/>
    <w:rsid w:val="00A60EEE"/>
    <w:rsid w:val="00A615DD"/>
    <w:rsid w:val="00A6245E"/>
    <w:rsid w:val="00A625C7"/>
    <w:rsid w:val="00A62FEA"/>
    <w:rsid w:val="00A644A0"/>
    <w:rsid w:val="00A6481B"/>
    <w:rsid w:val="00A65CE2"/>
    <w:rsid w:val="00A72EE1"/>
    <w:rsid w:val="00A753DF"/>
    <w:rsid w:val="00A7548C"/>
    <w:rsid w:val="00A76838"/>
    <w:rsid w:val="00A77180"/>
    <w:rsid w:val="00A80953"/>
    <w:rsid w:val="00A8114E"/>
    <w:rsid w:val="00A82201"/>
    <w:rsid w:val="00A82684"/>
    <w:rsid w:val="00A828BF"/>
    <w:rsid w:val="00A84A90"/>
    <w:rsid w:val="00A85147"/>
    <w:rsid w:val="00A92BB5"/>
    <w:rsid w:val="00A94037"/>
    <w:rsid w:val="00A9437E"/>
    <w:rsid w:val="00A95F19"/>
    <w:rsid w:val="00A96814"/>
    <w:rsid w:val="00AA12B5"/>
    <w:rsid w:val="00AA1EE3"/>
    <w:rsid w:val="00AA28AC"/>
    <w:rsid w:val="00AA34A8"/>
    <w:rsid w:val="00AA3BF2"/>
    <w:rsid w:val="00AA3DB2"/>
    <w:rsid w:val="00AA45CE"/>
    <w:rsid w:val="00AA7D06"/>
    <w:rsid w:val="00AA7DFE"/>
    <w:rsid w:val="00AB10E8"/>
    <w:rsid w:val="00AB20CC"/>
    <w:rsid w:val="00AB3672"/>
    <w:rsid w:val="00AB3AD4"/>
    <w:rsid w:val="00AB3B20"/>
    <w:rsid w:val="00AB4766"/>
    <w:rsid w:val="00AB61FC"/>
    <w:rsid w:val="00AC1194"/>
    <w:rsid w:val="00AC16DD"/>
    <w:rsid w:val="00AC1769"/>
    <w:rsid w:val="00AC2027"/>
    <w:rsid w:val="00AC2055"/>
    <w:rsid w:val="00AC2797"/>
    <w:rsid w:val="00AC3625"/>
    <w:rsid w:val="00AC4660"/>
    <w:rsid w:val="00AC5209"/>
    <w:rsid w:val="00AC6686"/>
    <w:rsid w:val="00AC6889"/>
    <w:rsid w:val="00AD051E"/>
    <w:rsid w:val="00AD215D"/>
    <w:rsid w:val="00AD27C1"/>
    <w:rsid w:val="00AD3467"/>
    <w:rsid w:val="00AD4995"/>
    <w:rsid w:val="00AD5114"/>
    <w:rsid w:val="00AD5935"/>
    <w:rsid w:val="00AD67FB"/>
    <w:rsid w:val="00AD747B"/>
    <w:rsid w:val="00AE2129"/>
    <w:rsid w:val="00AE31AB"/>
    <w:rsid w:val="00AE37A3"/>
    <w:rsid w:val="00AF1C81"/>
    <w:rsid w:val="00AF27AE"/>
    <w:rsid w:val="00AF31E4"/>
    <w:rsid w:val="00AF5EA9"/>
    <w:rsid w:val="00AF6EFA"/>
    <w:rsid w:val="00AF746E"/>
    <w:rsid w:val="00AF7558"/>
    <w:rsid w:val="00B02E4D"/>
    <w:rsid w:val="00B04160"/>
    <w:rsid w:val="00B0549A"/>
    <w:rsid w:val="00B05A7C"/>
    <w:rsid w:val="00B07B5B"/>
    <w:rsid w:val="00B114E7"/>
    <w:rsid w:val="00B11757"/>
    <w:rsid w:val="00B11C51"/>
    <w:rsid w:val="00B1260F"/>
    <w:rsid w:val="00B13619"/>
    <w:rsid w:val="00B13B5C"/>
    <w:rsid w:val="00B14261"/>
    <w:rsid w:val="00B15590"/>
    <w:rsid w:val="00B1696B"/>
    <w:rsid w:val="00B16FF8"/>
    <w:rsid w:val="00B20B25"/>
    <w:rsid w:val="00B21728"/>
    <w:rsid w:val="00B22DD1"/>
    <w:rsid w:val="00B23D1F"/>
    <w:rsid w:val="00B2447F"/>
    <w:rsid w:val="00B246A9"/>
    <w:rsid w:val="00B31127"/>
    <w:rsid w:val="00B3218A"/>
    <w:rsid w:val="00B32E42"/>
    <w:rsid w:val="00B33398"/>
    <w:rsid w:val="00B34E55"/>
    <w:rsid w:val="00B34EA2"/>
    <w:rsid w:val="00B350A5"/>
    <w:rsid w:val="00B358AB"/>
    <w:rsid w:val="00B35C89"/>
    <w:rsid w:val="00B4254F"/>
    <w:rsid w:val="00B44DA7"/>
    <w:rsid w:val="00B45C65"/>
    <w:rsid w:val="00B45FE3"/>
    <w:rsid w:val="00B46966"/>
    <w:rsid w:val="00B51617"/>
    <w:rsid w:val="00B51E6B"/>
    <w:rsid w:val="00B51E8F"/>
    <w:rsid w:val="00B52BAB"/>
    <w:rsid w:val="00B53581"/>
    <w:rsid w:val="00B539F3"/>
    <w:rsid w:val="00B53B07"/>
    <w:rsid w:val="00B54493"/>
    <w:rsid w:val="00B56224"/>
    <w:rsid w:val="00B56271"/>
    <w:rsid w:val="00B5766B"/>
    <w:rsid w:val="00B62BE8"/>
    <w:rsid w:val="00B636A9"/>
    <w:rsid w:val="00B636CA"/>
    <w:rsid w:val="00B65537"/>
    <w:rsid w:val="00B65CB8"/>
    <w:rsid w:val="00B66704"/>
    <w:rsid w:val="00B6689D"/>
    <w:rsid w:val="00B6693A"/>
    <w:rsid w:val="00B66F69"/>
    <w:rsid w:val="00B6759C"/>
    <w:rsid w:val="00B6795F"/>
    <w:rsid w:val="00B67CC5"/>
    <w:rsid w:val="00B706FD"/>
    <w:rsid w:val="00B72C85"/>
    <w:rsid w:val="00B73668"/>
    <w:rsid w:val="00B7439C"/>
    <w:rsid w:val="00B756AE"/>
    <w:rsid w:val="00B758A6"/>
    <w:rsid w:val="00B8061E"/>
    <w:rsid w:val="00B812BA"/>
    <w:rsid w:val="00B8146F"/>
    <w:rsid w:val="00B816A4"/>
    <w:rsid w:val="00B8270E"/>
    <w:rsid w:val="00B82840"/>
    <w:rsid w:val="00B83027"/>
    <w:rsid w:val="00B84E64"/>
    <w:rsid w:val="00B85A5F"/>
    <w:rsid w:val="00B86FB0"/>
    <w:rsid w:val="00B87F49"/>
    <w:rsid w:val="00B91250"/>
    <w:rsid w:val="00B91591"/>
    <w:rsid w:val="00B93667"/>
    <w:rsid w:val="00B93A58"/>
    <w:rsid w:val="00B93EC5"/>
    <w:rsid w:val="00B942B4"/>
    <w:rsid w:val="00B96310"/>
    <w:rsid w:val="00B9736D"/>
    <w:rsid w:val="00B979DE"/>
    <w:rsid w:val="00BA0AFE"/>
    <w:rsid w:val="00BA19A4"/>
    <w:rsid w:val="00BA213C"/>
    <w:rsid w:val="00BA323F"/>
    <w:rsid w:val="00BA3FB4"/>
    <w:rsid w:val="00BB0003"/>
    <w:rsid w:val="00BB1F59"/>
    <w:rsid w:val="00BB2449"/>
    <w:rsid w:val="00BB2462"/>
    <w:rsid w:val="00BB2A9E"/>
    <w:rsid w:val="00BB3346"/>
    <w:rsid w:val="00BB45A3"/>
    <w:rsid w:val="00BB4FC6"/>
    <w:rsid w:val="00BB71E2"/>
    <w:rsid w:val="00BB7741"/>
    <w:rsid w:val="00BC103D"/>
    <w:rsid w:val="00BC13A0"/>
    <w:rsid w:val="00BC1D3F"/>
    <w:rsid w:val="00BC2FBB"/>
    <w:rsid w:val="00BC3CE8"/>
    <w:rsid w:val="00BC4E65"/>
    <w:rsid w:val="00BC5BD3"/>
    <w:rsid w:val="00BC5F33"/>
    <w:rsid w:val="00BC618A"/>
    <w:rsid w:val="00BC7A69"/>
    <w:rsid w:val="00BD1F5F"/>
    <w:rsid w:val="00BD5AE4"/>
    <w:rsid w:val="00BD6ACF"/>
    <w:rsid w:val="00BD7F4F"/>
    <w:rsid w:val="00BE0087"/>
    <w:rsid w:val="00BE082D"/>
    <w:rsid w:val="00BE12D6"/>
    <w:rsid w:val="00BE336A"/>
    <w:rsid w:val="00BE3CCB"/>
    <w:rsid w:val="00BE5852"/>
    <w:rsid w:val="00BE5F29"/>
    <w:rsid w:val="00BE625D"/>
    <w:rsid w:val="00BE682A"/>
    <w:rsid w:val="00BF218C"/>
    <w:rsid w:val="00BF3A87"/>
    <w:rsid w:val="00BF419C"/>
    <w:rsid w:val="00BF4D7E"/>
    <w:rsid w:val="00BF5C8D"/>
    <w:rsid w:val="00BF6393"/>
    <w:rsid w:val="00BF698E"/>
    <w:rsid w:val="00BF6DE9"/>
    <w:rsid w:val="00BF6F83"/>
    <w:rsid w:val="00BF70E4"/>
    <w:rsid w:val="00BF7C2C"/>
    <w:rsid w:val="00C0086D"/>
    <w:rsid w:val="00C016EE"/>
    <w:rsid w:val="00C03376"/>
    <w:rsid w:val="00C03F5A"/>
    <w:rsid w:val="00C04029"/>
    <w:rsid w:val="00C049FF"/>
    <w:rsid w:val="00C04A7D"/>
    <w:rsid w:val="00C05587"/>
    <w:rsid w:val="00C07578"/>
    <w:rsid w:val="00C1218C"/>
    <w:rsid w:val="00C14ACB"/>
    <w:rsid w:val="00C158A4"/>
    <w:rsid w:val="00C1632F"/>
    <w:rsid w:val="00C1763E"/>
    <w:rsid w:val="00C204F7"/>
    <w:rsid w:val="00C21B6B"/>
    <w:rsid w:val="00C23E3F"/>
    <w:rsid w:val="00C23EE4"/>
    <w:rsid w:val="00C2459C"/>
    <w:rsid w:val="00C2488A"/>
    <w:rsid w:val="00C25866"/>
    <w:rsid w:val="00C2627D"/>
    <w:rsid w:val="00C27053"/>
    <w:rsid w:val="00C312C8"/>
    <w:rsid w:val="00C32208"/>
    <w:rsid w:val="00C33793"/>
    <w:rsid w:val="00C34837"/>
    <w:rsid w:val="00C349B6"/>
    <w:rsid w:val="00C34E7A"/>
    <w:rsid w:val="00C359FC"/>
    <w:rsid w:val="00C365FA"/>
    <w:rsid w:val="00C36ACA"/>
    <w:rsid w:val="00C40EC0"/>
    <w:rsid w:val="00C41438"/>
    <w:rsid w:val="00C44317"/>
    <w:rsid w:val="00C47933"/>
    <w:rsid w:val="00C47D6B"/>
    <w:rsid w:val="00C500F4"/>
    <w:rsid w:val="00C50AAB"/>
    <w:rsid w:val="00C50E52"/>
    <w:rsid w:val="00C514EC"/>
    <w:rsid w:val="00C51660"/>
    <w:rsid w:val="00C52149"/>
    <w:rsid w:val="00C52310"/>
    <w:rsid w:val="00C53DB0"/>
    <w:rsid w:val="00C5442A"/>
    <w:rsid w:val="00C54546"/>
    <w:rsid w:val="00C571BB"/>
    <w:rsid w:val="00C608CC"/>
    <w:rsid w:val="00C60CD3"/>
    <w:rsid w:val="00C60E09"/>
    <w:rsid w:val="00C65BA4"/>
    <w:rsid w:val="00C6657B"/>
    <w:rsid w:val="00C66D75"/>
    <w:rsid w:val="00C677F8"/>
    <w:rsid w:val="00C67F12"/>
    <w:rsid w:val="00C7009A"/>
    <w:rsid w:val="00C7018D"/>
    <w:rsid w:val="00C71411"/>
    <w:rsid w:val="00C751FA"/>
    <w:rsid w:val="00C762AF"/>
    <w:rsid w:val="00C76A50"/>
    <w:rsid w:val="00C76C7D"/>
    <w:rsid w:val="00C77DBF"/>
    <w:rsid w:val="00C8001A"/>
    <w:rsid w:val="00C8150D"/>
    <w:rsid w:val="00C817A6"/>
    <w:rsid w:val="00C8379D"/>
    <w:rsid w:val="00C842F2"/>
    <w:rsid w:val="00C85A88"/>
    <w:rsid w:val="00C8723B"/>
    <w:rsid w:val="00C874F7"/>
    <w:rsid w:val="00C901EF"/>
    <w:rsid w:val="00C919AB"/>
    <w:rsid w:val="00C9220B"/>
    <w:rsid w:val="00C94BDA"/>
    <w:rsid w:val="00C96679"/>
    <w:rsid w:val="00CA01C8"/>
    <w:rsid w:val="00CA0AB9"/>
    <w:rsid w:val="00CA204B"/>
    <w:rsid w:val="00CA3D0F"/>
    <w:rsid w:val="00CA3D71"/>
    <w:rsid w:val="00CA51F1"/>
    <w:rsid w:val="00CA6D34"/>
    <w:rsid w:val="00CA71A5"/>
    <w:rsid w:val="00CA7BCE"/>
    <w:rsid w:val="00CB3DFB"/>
    <w:rsid w:val="00CB4CB7"/>
    <w:rsid w:val="00CB4F14"/>
    <w:rsid w:val="00CB569E"/>
    <w:rsid w:val="00CB649A"/>
    <w:rsid w:val="00CB6A56"/>
    <w:rsid w:val="00CB6BFB"/>
    <w:rsid w:val="00CC583F"/>
    <w:rsid w:val="00CC5D86"/>
    <w:rsid w:val="00CC7565"/>
    <w:rsid w:val="00CC76C5"/>
    <w:rsid w:val="00CD1C0B"/>
    <w:rsid w:val="00CD1E55"/>
    <w:rsid w:val="00CD265A"/>
    <w:rsid w:val="00CD36E8"/>
    <w:rsid w:val="00CE0FF7"/>
    <w:rsid w:val="00CE14FF"/>
    <w:rsid w:val="00CE35E9"/>
    <w:rsid w:val="00CE3DDE"/>
    <w:rsid w:val="00CE5FDE"/>
    <w:rsid w:val="00CE630F"/>
    <w:rsid w:val="00CE6520"/>
    <w:rsid w:val="00CE6B20"/>
    <w:rsid w:val="00CE79F4"/>
    <w:rsid w:val="00CF1204"/>
    <w:rsid w:val="00CF354E"/>
    <w:rsid w:val="00CF3ECE"/>
    <w:rsid w:val="00CF6097"/>
    <w:rsid w:val="00CF6C15"/>
    <w:rsid w:val="00CF73A2"/>
    <w:rsid w:val="00D00ABB"/>
    <w:rsid w:val="00D00E6A"/>
    <w:rsid w:val="00D0102E"/>
    <w:rsid w:val="00D020D8"/>
    <w:rsid w:val="00D03741"/>
    <w:rsid w:val="00D03BD9"/>
    <w:rsid w:val="00D043E8"/>
    <w:rsid w:val="00D07FED"/>
    <w:rsid w:val="00D10886"/>
    <w:rsid w:val="00D1194D"/>
    <w:rsid w:val="00D11BCD"/>
    <w:rsid w:val="00D12479"/>
    <w:rsid w:val="00D15969"/>
    <w:rsid w:val="00D15990"/>
    <w:rsid w:val="00D17DEB"/>
    <w:rsid w:val="00D21D67"/>
    <w:rsid w:val="00D220BF"/>
    <w:rsid w:val="00D22DD0"/>
    <w:rsid w:val="00D24D16"/>
    <w:rsid w:val="00D25864"/>
    <w:rsid w:val="00D25C09"/>
    <w:rsid w:val="00D267F9"/>
    <w:rsid w:val="00D27619"/>
    <w:rsid w:val="00D309EB"/>
    <w:rsid w:val="00D32277"/>
    <w:rsid w:val="00D3309C"/>
    <w:rsid w:val="00D3337B"/>
    <w:rsid w:val="00D35AB9"/>
    <w:rsid w:val="00D35DD4"/>
    <w:rsid w:val="00D35F6D"/>
    <w:rsid w:val="00D3771E"/>
    <w:rsid w:val="00D40B86"/>
    <w:rsid w:val="00D40EFF"/>
    <w:rsid w:val="00D41488"/>
    <w:rsid w:val="00D41DE9"/>
    <w:rsid w:val="00D42726"/>
    <w:rsid w:val="00D43702"/>
    <w:rsid w:val="00D437D6"/>
    <w:rsid w:val="00D43B7C"/>
    <w:rsid w:val="00D43CDD"/>
    <w:rsid w:val="00D50101"/>
    <w:rsid w:val="00D52F4A"/>
    <w:rsid w:val="00D53E41"/>
    <w:rsid w:val="00D54F8C"/>
    <w:rsid w:val="00D55DFB"/>
    <w:rsid w:val="00D5735A"/>
    <w:rsid w:val="00D60039"/>
    <w:rsid w:val="00D618D0"/>
    <w:rsid w:val="00D620D0"/>
    <w:rsid w:val="00D6245E"/>
    <w:rsid w:val="00D625CF"/>
    <w:rsid w:val="00D636AA"/>
    <w:rsid w:val="00D64278"/>
    <w:rsid w:val="00D64DF6"/>
    <w:rsid w:val="00D67D79"/>
    <w:rsid w:val="00D718AB"/>
    <w:rsid w:val="00D80E2B"/>
    <w:rsid w:val="00D8204B"/>
    <w:rsid w:val="00D833C8"/>
    <w:rsid w:val="00D841F0"/>
    <w:rsid w:val="00D84875"/>
    <w:rsid w:val="00D866B6"/>
    <w:rsid w:val="00D871F2"/>
    <w:rsid w:val="00D90F21"/>
    <w:rsid w:val="00D91096"/>
    <w:rsid w:val="00D927D4"/>
    <w:rsid w:val="00D9387C"/>
    <w:rsid w:val="00D94122"/>
    <w:rsid w:val="00D95656"/>
    <w:rsid w:val="00DA1150"/>
    <w:rsid w:val="00DA12E5"/>
    <w:rsid w:val="00DA28A4"/>
    <w:rsid w:val="00DA3173"/>
    <w:rsid w:val="00DA3363"/>
    <w:rsid w:val="00DA7A1A"/>
    <w:rsid w:val="00DA7C63"/>
    <w:rsid w:val="00DB0736"/>
    <w:rsid w:val="00DB2664"/>
    <w:rsid w:val="00DB28A7"/>
    <w:rsid w:val="00DB33EB"/>
    <w:rsid w:val="00DB4041"/>
    <w:rsid w:val="00DB4341"/>
    <w:rsid w:val="00DB46EE"/>
    <w:rsid w:val="00DB5D9D"/>
    <w:rsid w:val="00DB6830"/>
    <w:rsid w:val="00DC3391"/>
    <w:rsid w:val="00DC7F5C"/>
    <w:rsid w:val="00DD0743"/>
    <w:rsid w:val="00DD155B"/>
    <w:rsid w:val="00DD5F5E"/>
    <w:rsid w:val="00DD66B9"/>
    <w:rsid w:val="00DD6A36"/>
    <w:rsid w:val="00DD7E24"/>
    <w:rsid w:val="00DE0BB4"/>
    <w:rsid w:val="00DE1015"/>
    <w:rsid w:val="00DE11D2"/>
    <w:rsid w:val="00DE1DB1"/>
    <w:rsid w:val="00DE2303"/>
    <w:rsid w:val="00DE3768"/>
    <w:rsid w:val="00DE3D0F"/>
    <w:rsid w:val="00DE4EDD"/>
    <w:rsid w:val="00DE6086"/>
    <w:rsid w:val="00DE6240"/>
    <w:rsid w:val="00DE6F2F"/>
    <w:rsid w:val="00DE751E"/>
    <w:rsid w:val="00DF2E51"/>
    <w:rsid w:val="00DF2EB9"/>
    <w:rsid w:val="00DF59A3"/>
    <w:rsid w:val="00DF734C"/>
    <w:rsid w:val="00DF77F4"/>
    <w:rsid w:val="00DF78C3"/>
    <w:rsid w:val="00DF7E45"/>
    <w:rsid w:val="00DF7F8D"/>
    <w:rsid w:val="00E01091"/>
    <w:rsid w:val="00E02427"/>
    <w:rsid w:val="00E03DD2"/>
    <w:rsid w:val="00E07F88"/>
    <w:rsid w:val="00E1160B"/>
    <w:rsid w:val="00E12137"/>
    <w:rsid w:val="00E13F64"/>
    <w:rsid w:val="00E15469"/>
    <w:rsid w:val="00E166A9"/>
    <w:rsid w:val="00E24803"/>
    <w:rsid w:val="00E24F38"/>
    <w:rsid w:val="00E27015"/>
    <w:rsid w:val="00E27891"/>
    <w:rsid w:val="00E2797C"/>
    <w:rsid w:val="00E30632"/>
    <w:rsid w:val="00E319CF"/>
    <w:rsid w:val="00E31FC7"/>
    <w:rsid w:val="00E33D19"/>
    <w:rsid w:val="00E37B82"/>
    <w:rsid w:val="00E41C6E"/>
    <w:rsid w:val="00E41E1F"/>
    <w:rsid w:val="00E4219A"/>
    <w:rsid w:val="00E43002"/>
    <w:rsid w:val="00E436C9"/>
    <w:rsid w:val="00E44044"/>
    <w:rsid w:val="00E448E3"/>
    <w:rsid w:val="00E44D16"/>
    <w:rsid w:val="00E44FF0"/>
    <w:rsid w:val="00E45C7E"/>
    <w:rsid w:val="00E45DB6"/>
    <w:rsid w:val="00E506BE"/>
    <w:rsid w:val="00E50996"/>
    <w:rsid w:val="00E51C98"/>
    <w:rsid w:val="00E52294"/>
    <w:rsid w:val="00E52401"/>
    <w:rsid w:val="00E52A7A"/>
    <w:rsid w:val="00E548D3"/>
    <w:rsid w:val="00E56A72"/>
    <w:rsid w:val="00E57123"/>
    <w:rsid w:val="00E6029C"/>
    <w:rsid w:val="00E6241B"/>
    <w:rsid w:val="00E62C71"/>
    <w:rsid w:val="00E642AF"/>
    <w:rsid w:val="00E645C1"/>
    <w:rsid w:val="00E6547F"/>
    <w:rsid w:val="00E6655D"/>
    <w:rsid w:val="00E708C2"/>
    <w:rsid w:val="00E7281B"/>
    <w:rsid w:val="00E74FB0"/>
    <w:rsid w:val="00E762CB"/>
    <w:rsid w:val="00E7684B"/>
    <w:rsid w:val="00E76BDC"/>
    <w:rsid w:val="00E76C5A"/>
    <w:rsid w:val="00E8103E"/>
    <w:rsid w:val="00E82F99"/>
    <w:rsid w:val="00E841CA"/>
    <w:rsid w:val="00E90A39"/>
    <w:rsid w:val="00E91494"/>
    <w:rsid w:val="00E91543"/>
    <w:rsid w:val="00E91F45"/>
    <w:rsid w:val="00E93F35"/>
    <w:rsid w:val="00E96FAD"/>
    <w:rsid w:val="00E978F1"/>
    <w:rsid w:val="00EA0E1C"/>
    <w:rsid w:val="00EA196B"/>
    <w:rsid w:val="00EA1D43"/>
    <w:rsid w:val="00EA5F84"/>
    <w:rsid w:val="00EA60D7"/>
    <w:rsid w:val="00EA69F5"/>
    <w:rsid w:val="00EA6F5F"/>
    <w:rsid w:val="00EA6FD1"/>
    <w:rsid w:val="00EB0788"/>
    <w:rsid w:val="00EB0843"/>
    <w:rsid w:val="00EB19CC"/>
    <w:rsid w:val="00EB3E80"/>
    <w:rsid w:val="00EB4466"/>
    <w:rsid w:val="00EC0DFD"/>
    <w:rsid w:val="00EC0FC1"/>
    <w:rsid w:val="00EC1C4F"/>
    <w:rsid w:val="00EC3290"/>
    <w:rsid w:val="00EC3E31"/>
    <w:rsid w:val="00EC41DA"/>
    <w:rsid w:val="00EC4744"/>
    <w:rsid w:val="00EC7C9F"/>
    <w:rsid w:val="00ED0619"/>
    <w:rsid w:val="00ED0712"/>
    <w:rsid w:val="00ED09B4"/>
    <w:rsid w:val="00ED1E3F"/>
    <w:rsid w:val="00ED3B3F"/>
    <w:rsid w:val="00ED3B5A"/>
    <w:rsid w:val="00ED4AD5"/>
    <w:rsid w:val="00ED54C5"/>
    <w:rsid w:val="00ED63D2"/>
    <w:rsid w:val="00EE0CF4"/>
    <w:rsid w:val="00EE1D41"/>
    <w:rsid w:val="00EE237E"/>
    <w:rsid w:val="00EE4E9B"/>
    <w:rsid w:val="00EE604C"/>
    <w:rsid w:val="00EE6419"/>
    <w:rsid w:val="00EE65BA"/>
    <w:rsid w:val="00EE74F2"/>
    <w:rsid w:val="00EE7D58"/>
    <w:rsid w:val="00EF0B57"/>
    <w:rsid w:val="00EF285C"/>
    <w:rsid w:val="00EF3A4C"/>
    <w:rsid w:val="00EF4C2F"/>
    <w:rsid w:val="00EF5B56"/>
    <w:rsid w:val="00EF64B9"/>
    <w:rsid w:val="00EF72D8"/>
    <w:rsid w:val="00EF7641"/>
    <w:rsid w:val="00F008C6"/>
    <w:rsid w:val="00F01332"/>
    <w:rsid w:val="00F01ABD"/>
    <w:rsid w:val="00F046DD"/>
    <w:rsid w:val="00F054EE"/>
    <w:rsid w:val="00F06706"/>
    <w:rsid w:val="00F06A2B"/>
    <w:rsid w:val="00F0733D"/>
    <w:rsid w:val="00F10FC7"/>
    <w:rsid w:val="00F124AD"/>
    <w:rsid w:val="00F144B8"/>
    <w:rsid w:val="00F1543F"/>
    <w:rsid w:val="00F154E8"/>
    <w:rsid w:val="00F16629"/>
    <w:rsid w:val="00F1763F"/>
    <w:rsid w:val="00F21F65"/>
    <w:rsid w:val="00F22CED"/>
    <w:rsid w:val="00F233D9"/>
    <w:rsid w:val="00F244AB"/>
    <w:rsid w:val="00F25E81"/>
    <w:rsid w:val="00F30E5C"/>
    <w:rsid w:val="00F32AE7"/>
    <w:rsid w:val="00F353FB"/>
    <w:rsid w:val="00F36A4E"/>
    <w:rsid w:val="00F40E18"/>
    <w:rsid w:val="00F411F3"/>
    <w:rsid w:val="00F41D8A"/>
    <w:rsid w:val="00F42DAB"/>
    <w:rsid w:val="00F431EF"/>
    <w:rsid w:val="00F4351C"/>
    <w:rsid w:val="00F43D5D"/>
    <w:rsid w:val="00F43D9A"/>
    <w:rsid w:val="00F43FCE"/>
    <w:rsid w:val="00F457D3"/>
    <w:rsid w:val="00F51159"/>
    <w:rsid w:val="00F52E9D"/>
    <w:rsid w:val="00F55043"/>
    <w:rsid w:val="00F55B85"/>
    <w:rsid w:val="00F569AE"/>
    <w:rsid w:val="00F574F3"/>
    <w:rsid w:val="00F60B04"/>
    <w:rsid w:val="00F6174E"/>
    <w:rsid w:val="00F62A2A"/>
    <w:rsid w:val="00F62F34"/>
    <w:rsid w:val="00F631FB"/>
    <w:rsid w:val="00F63B99"/>
    <w:rsid w:val="00F63CCA"/>
    <w:rsid w:val="00F642EA"/>
    <w:rsid w:val="00F64310"/>
    <w:rsid w:val="00F6502A"/>
    <w:rsid w:val="00F6619C"/>
    <w:rsid w:val="00F67647"/>
    <w:rsid w:val="00F67B05"/>
    <w:rsid w:val="00F70904"/>
    <w:rsid w:val="00F71250"/>
    <w:rsid w:val="00F71468"/>
    <w:rsid w:val="00F736DC"/>
    <w:rsid w:val="00F74D64"/>
    <w:rsid w:val="00F75295"/>
    <w:rsid w:val="00F75EF7"/>
    <w:rsid w:val="00F75F56"/>
    <w:rsid w:val="00F76A8F"/>
    <w:rsid w:val="00F76CE9"/>
    <w:rsid w:val="00F77768"/>
    <w:rsid w:val="00F81F11"/>
    <w:rsid w:val="00F82694"/>
    <w:rsid w:val="00F8323F"/>
    <w:rsid w:val="00F834BE"/>
    <w:rsid w:val="00F84036"/>
    <w:rsid w:val="00F84CF8"/>
    <w:rsid w:val="00F869BF"/>
    <w:rsid w:val="00F87727"/>
    <w:rsid w:val="00F90B93"/>
    <w:rsid w:val="00F9184F"/>
    <w:rsid w:val="00F92082"/>
    <w:rsid w:val="00F92C8F"/>
    <w:rsid w:val="00F947CD"/>
    <w:rsid w:val="00F97693"/>
    <w:rsid w:val="00FA109B"/>
    <w:rsid w:val="00FA27A4"/>
    <w:rsid w:val="00FA2D91"/>
    <w:rsid w:val="00FA416C"/>
    <w:rsid w:val="00FA47A3"/>
    <w:rsid w:val="00FA7BBF"/>
    <w:rsid w:val="00FA7BF8"/>
    <w:rsid w:val="00FB06B6"/>
    <w:rsid w:val="00FB086D"/>
    <w:rsid w:val="00FB20D0"/>
    <w:rsid w:val="00FB2679"/>
    <w:rsid w:val="00FB320C"/>
    <w:rsid w:val="00FB3A52"/>
    <w:rsid w:val="00FB3F59"/>
    <w:rsid w:val="00FB427E"/>
    <w:rsid w:val="00FB59C5"/>
    <w:rsid w:val="00FB5A23"/>
    <w:rsid w:val="00FC002C"/>
    <w:rsid w:val="00FC0406"/>
    <w:rsid w:val="00FC1CD6"/>
    <w:rsid w:val="00FC1FB7"/>
    <w:rsid w:val="00FC2521"/>
    <w:rsid w:val="00FC2778"/>
    <w:rsid w:val="00FC635F"/>
    <w:rsid w:val="00FD0037"/>
    <w:rsid w:val="00FD0B18"/>
    <w:rsid w:val="00FD0BF7"/>
    <w:rsid w:val="00FD16F9"/>
    <w:rsid w:val="00FD19C6"/>
    <w:rsid w:val="00FD3075"/>
    <w:rsid w:val="00FE06F2"/>
    <w:rsid w:val="00FE0D4E"/>
    <w:rsid w:val="00FE1885"/>
    <w:rsid w:val="00FE2314"/>
    <w:rsid w:val="00FE25C2"/>
    <w:rsid w:val="00FE2764"/>
    <w:rsid w:val="00FE39E8"/>
    <w:rsid w:val="00FE64A9"/>
    <w:rsid w:val="00FE6B98"/>
    <w:rsid w:val="00FE7660"/>
    <w:rsid w:val="00FF0AD8"/>
    <w:rsid w:val="00FF0CCE"/>
    <w:rsid w:val="00FF3AD0"/>
    <w:rsid w:val="00FF3B67"/>
    <w:rsid w:val="00FF4791"/>
    <w:rsid w:val="00FF484F"/>
    <w:rsid w:val="00FF7E6E"/>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E7AAC"/>
  <w15:chartTrackingRefBased/>
  <w15:docId w15:val="{9F04F189-7C26-4284-B3F4-23611D6E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45E"/>
  </w:style>
  <w:style w:type="paragraph" w:styleId="Heading1">
    <w:name w:val="heading 1"/>
    <w:basedOn w:val="Normal"/>
    <w:next w:val="Normal"/>
    <w:link w:val="Heading1Char"/>
    <w:uiPriority w:val="9"/>
    <w:qFormat/>
    <w:rsid w:val="00DD0743"/>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BB2462"/>
    <w:pPr>
      <w:keepNext/>
      <w:keepLines/>
      <w:spacing w:before="40" w:after="0"/>
      <w:outlineLvl w:val="2"/>
    </w:pPr>
    <w:rPr>
      <w:rFonts w:asciiTheme="majorHAnsi" w:eastAsiaTheme="majorEastAsia" w:hAnsiTheme="majorHAnsi" w:cstheme="majorBidi"/>
      <w:color w:val="1F3763" w:themeColor="accent1" w:themeShade="7F"/>
      <w:szCs w:val="21"/>
      <w:lang w:eastAsia="zh-CN"/>
    </w:rPr>
  </w:style>
  <w:style w:type="paragraph" w:styleId="Heading5">
    <w:name w:val="heading 5"/>
    <w:basedOn w:val="Normal"/>
    <w:next w:val="Normal"/>
    <w:link w:val="Heading5Char"/>
    <w:uiPriority w:val="9"/>
    <w:semiHidden/>
    <w:unhideWhenUsed/>
    <w:qFormat/>
    <w:rsid w:val="00984208"/>
    <w:pPr>
      <w:keepNext/>
      <w:keepLines/>
      <w:spacing w:before="40" w:after="0"/>
      <w:outlineLvl w:val="4"/>
    </w:pPr>
    <w:rPr>
      <w:rFonts w:asciiTheme="majorHAnsi" w:eastAsiaTheme="majorEastAsia" w:hAnsiTheme="majorHAnsi" w:cstheme="majorBidi"/>
      <w:color w:val="2F5496"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Colorful List - Accent 11,APAM List Paragraph,List Paragraph11,List Paragraph Char Char,lp1,Number_1,SGLText List Paragraph,new,b1,Normal Sentence"/>
    <w:basedOn w:val="Normal"/>
    <w:link w:val="ListParagraphChar"/>
    <w:uiPriority w:val="34"/>
    <w:qFormat/>
    <w:rsid w:val="00BE3CCB"/>
    <w:pPr>
      <w:ind w:left="720"/>
      <w:contextualSpacing/>
    </w:pPr>
    <w:rPr>
      <w:rFonts w:cs="Mangal"/>
      <w:szCs w:val="21"/>
    </w:rPr>
  </w:style>
  <w:style w:type="character" w:customStyle="1" w:styleId="ListParagraphChar">
    <w:name w:val="List Paragraph Char"/>
    <w:aliases w:val="List Paragraph2 Char,Colorful List - Accent 11 Char,APAM List Paragraph Char,List Paragraph11 Char,List Paragraph Char Char Char,lp1 Char,Number_1 Char,SGLText List Paragraph Char,new Char,b1 Char,Normal Sentence Char"/>
    <w:basedOn w:val="DefaultParagraphFont"/>
    <w:link w:val="ListParagraph"/>
    <w:uiPriority w:val="34"/>
    <w:locked/>
    <w:rsid w:val="00BE3CCB"/>
    <w:rPr>
      <w:rFonts w:cs="Mangal"/>
      <w:szCs w:val="21"/>
    </w:rPr>
  </w:style>
  <w:style w:type="paragraph" w:customStyle="1" w:styleId="NoParagraphStyle">
    <w:name w:val="[No Paragraph Style]"/>
    <w:rsid w:val="00BE3CC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lang w:val="en-GB" w:bidi="ar-SA"/>
    </w:rPr>
  </w:style>
  <w:style w:type="character" w:customStyle="1" w:styleId="BodyBulletChar">
    <w:name w:val="_Body Bullet Char"/>
    <w:basedOn w:val="DefaultParagraphFont"/>
    <w:link w:val="BodyBullet"/>
    <w:locked/>
    <w:rsid w:val="00BE3CCB"/>
    <w:rPr>
      <w:sz w:val="20"/>
      <w:szCs w:val="20"/>
      <w:lang w:val="en-GB"/>
    </w:rPr>
  </w:style>
  <w:style w:type="paragraph" w:customStyle="1" w:styleId="BodyBullet">
    <w:name w:val="_Body Bullet"/>
    <w:basedOn w:val="Normal"/>
    <w:next w:val="Normal"/>
    <w:link w:val="BodyBulletChar"/>
    <w:qFormat/>
    <w:rsid w:val="00BE3CCB"/>
    <w:pPr>
      <w:numPr>
        <w:numId w:val="1"/>
      </w:numPr>
      <w:spacing w:before="60" w:after="60" w:line="240" w:lineRule="atLeast"/>
    </w:pPr>
    <w:rPr>
      <w:sz w:val="20"/>
      <w:szCs w:val="20"/>
      <w:lang w:val="en-GB"/>
    </w:rPr>
  </w:style>
  <w:style w:type="character" w:styleId="CommentReference">
    <w:name w:val="annotation reference"/>
    <w:basedOn w:val="DefaultParagraphFont"/>
    <w:uiPriority w:val="99"/>
    <w:semiHidden/>
    <w:unhideWhenUsed/>
    <w:rsid w:val="00F62A2A"/>
    <w:rPr>
      <w:sz w:val="16"/>
      <w:szCs w:val="16"/>
    </w:rPr>
  </w:style>
  <w:style w:type="paragraph" w:styleId="CommentText">
    <w:name w:val="annotation text"/>
    <w:basedOn w:val="Normal"/>
    <w:link w:val="CommentTextChar"/>
    <w:uiPriority w:val="99"/>
    <w:unhideWhenUsed/>
    <w:rsid w:val="00F62A2A"/>
    <w:pPr>
      <w:spacing w:line="240" w:lineRule="auto"/>
    </w:pPr>
    <w:rPr>
      <w:rFonts w:cs="Mangal"/>
      <w:sz w:val="20"/>
      <w:szCs w:val="18"/>
    </w:rPr>
  </w:style>
  <w:style w:type="character" w:customStyle="1" w:styleId="CommentTextChar">
    <w:name w:val="Comment Text Char"/>
    <w:basedOn w:val="DefaultParagraphFont"/>
    <w:link w:val="CommentText"/>
    <w:uiPriority w:val="99"/>
    <w:rsid w:val="00F62A2A"/>
    <w:rPr>
      <w:rFonts w:cs="Mangal"/>
      <w:sz w:val="20"/>
      <w:szCs w:val="18"/>
    </w:rPr>
  </w:style>
  <w:style w:type="paragraph" w:styleId="Header">
    <w:name w:val="header"/>
    <w:basedOn w:val="Normal"/>
    <w:link w:val="HeaderChar"/>
    <w:uiPriority w:val="99"/>
    <w:unhideWhenUsed/>
    <w:rsid w:val="00E12137"/>
    <w:pPr>
      <w:tabs>
        <w:tab w:val="center" w:pos="4513"/>
        <w:tab w:val="right" w:pos="9026"/>
      </w:tabs>
      <w:spacing w:after="0" w:line="240" w:lineRule="auto"/>
    </w:pPr>
    <w:rPr>
      <w:rFonts w:cs="Mangal"/>
      <w:szCs w:val="21"/>
    </w:rPr>
  </w:style>
  <w:style w:type="character" w:customStyle="1" w:styleId="HeaderChar">
    <w:name w:val="Header Char"/>
    <w:basedOn w:val="DefaultParagraphFont"/>
    <w:link w:val="Header"/>
    <w:uiPriority w:val="99"/>
    <w:rsid w:val="00E12137"/>
    <w:rPr>
      <w:rFonts w:cs="Mangal"/>
      <w:szCs w:val="21"/>
    </w:rPr>
  </w:style>
  <w:style w:type="paragraph" w:styleId="Footer">
    <w:name w:val="footer"/>
    <w:basedOn w:val="Normal"/>
    <w:link w:val="FooterChar"/>
    <w:uiPriority w:val="99"/>
    <w:unhideWhenUsed/>
    <w:rsid w:val="00E12137"/>
    <w:pPr>
      <w:tabs>
        <w:tab w:val="center" w:pos="4513"/>
        <w:tab w:val="right" w:pos="9026"/>
      </w:tabs>
      <w:spacing w:after="0" w:line="240" w:lineRule="auto"/>
    </w:pPr>
    <w:rPr>
      <w:rFonts w:cs="Mangal"/>
      <w:szCs w:val="21"/>
    </w:rPr>
  </w:style>
  <w:style w:type="character" w:customStyle="1" w:styleId="FooterChar">
    <w:name w:val="Footer Char"/>
    <w:basedOn w:val="DefaultParagraphFont"/>
    <w:link w:val="Footer"/>
    <w:uiPriority w:val="99"/>
    <w:rsid w:val="00E12137"/>
    <w:rPr>
      <w:rFonts w:cs="Mangal"/>
      <w:szCs w:val="21"/>
    </w:rPr>
  </w:style>
  <w:style w:type="paragraph" w:styleId="FootnoteText">
    <w:name w:val="footnote text"/>
    <w:aliases w:val="MAC footnote text"/>
    <w:basedOn w:val="Normal"/>
    <w:link w:val="FootnoteTextChar"/>
    <w:unhideWhenUsed/>
    <w:qFormat/>
    <w:rsid w:val="00BB2462"/>
    <w:pPr>
      <w:widowControl w:val="0"/>
      <w:autoSpaceDE w:val="0"/>
      <w:autoSpaceDN w:val="0"/>
      <w:spacing w:after="0" w:line="240" w:lineRule="auto"/>
    </w:pPr>
    <w:rPr>
      <w:rFonts w:eastAsia="Arial"/>
      <w:sz w:val="20"/>
      <w:szCs w:val="20"/>
      <w:lang w:val="en-US" w:bidi="ar-SA"/>
    </w:rPr>
  </w:style>
  <w:style w:type="character" w:customStyle="1" w:styleId="FootnoteTextChar">
    <w:name w:val="Footnote Text Char"/>
    <w:aliases w:val="MAC footnote text Char"/>
    <w:basedOn w:val="DefaultParagraphFont"/>
    <w:link w:val="FootnoteText"/>
    <w:rsid w:val="00BB2462"/>
    <w:rPr>
      <w:rFonts w:eastAsia="Arial"/>
      <w:sz w:val="20"/>
      <w:szCs w:val="20"/>
      <w:lang w:val="en-US" w:bidi="ar-SA"/>
    </w:rPr>
  </w:style>
  <w:style w:type="character" w:styleId="FootnoteReference">
    <w:name w:val="footnote reference"/>
    <w:aliases w:val="MAC footnote reference"/>
    <w:basedOn w:val="DefaultParagraphFont"/>
    <w:uiPriority w:val="99"/>
    <w:unhideWhenUsed/>
    <w:rsid w:val="00BB2462"/>
    <w:rPr>
      <w:vertAlign w:val="superscript"/>
    </w:rPr>
  </w:style>
  <w:style w:type="character" w:customStyle="1" w:styleId="Heading3Char">
    <w:name w:val="Heading 3 Char"/>
    <w:basedOn w:val="DefaultParagraphFont"/>
    <w:link w:val="Heading3"/>
    <w:uiPriority w:val="9"/>
    <w:semiHidden/>
    <w:rsid w:val="00BB2462"/>
    <w:rPr>
      <w:rFonts w:asciiTheme="majorHAnsi" w:eastAsiaTheme="majorEastAsia" w:hAnsiTheme="majorHAnsi" w:cstheme="majorBidi"/>
      <w:color w:val="1F3763" w:themeColor="accent1" w:themeShade="7F"/>
      <w:szCs w:val="21"/>
      <w:lang w:eastAsia="zh-CN"/>
    </w:rPr>
  </w:style>
  <w:style w:type="paragraph" w:styleId="CommentSubject">
    <w:name w:val="annotation subject"/>
    <w:basedOn w:val="CommentText"/>
    <w:next w:val="CommentText"/>
    <w:link w:val="CommentSubjectChar"/>
    <w:uiPriority w:val="99"/>
    <w:semiHidden/>
    <w:unhideWhenUsed/>
    <w:rsid w:val="009173FF"/>
    <w:rPr>
      <w:b/>
      <w:bCs/>
    </w:rPr>
  </w:style>
  <w:style w:type="character" w:customStyle="1" w:styleId="CommentSubjectChar">
    <w:name w:val="Comment Subject Char"/>
    <w:basedOn w:val="CommentTextChar"/>
    <w:link w:val="CommentSubject"/>
    <w:uiPriority w:val="99"/>
    <w:semiHidden/>
    <w:rsid w:val="009173FF"/>
    <w:rPr>
      <w:rFonts w:cs="Mangal"/>
      <w:b/>
      <w:bCs/>
      <w:sz w:val="20"/>
      <w:szCs w:val="18"/>
    </w:rPr>
  </w:style>
  <w:style w:type="table" w:styleId="TableGrid">
    <w:name w:val="Table Grid"/>
    <w:basedOn w:val="TableNormal"/>
    <w:uiPriority w:val="59"/>
    <w:rsid w:val="0087000F"/>
    <w:pPr>
      <w:widowControl w:val="0"/>
      <w:autoSpaceDE w:val="0"/>
      <w:autoSpaceDN w:val="0"/>
      <w:spacing w:after="0" w:line="240" w:lineRule="auto"/>
    </w:pPr>
    <w:rPr>
      <w:rFonts w:asciiTheme="minorHAnsi" w:eastAsiaTheme="minorEastAsia" w:hAnsiTheme="minorHAnsi" w:cs="Times New Roman"/>
      <w:sz w:val="22"/>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4515"/>
    <w:pPr>
      <w:spacing w:after="0" w:line="240" w:lineRule="auto"/>
    </w:pPr>
    <w:rPr>
      <w:rFonts w:cs="Mangal"/>
      <w:szCs w:val="21"/>
    </w:rPr>
  </w:style>
  <w:style w:type="paragraph" w:styleId="EndnoteText">
    <w:name w:val="endnote text"/>
    <w:basedOn w:val="Normal"/>
    <w:link w:val="EndnoteTextChar"/>
    <w:uiPriority w:val="99"/>
    <w:unhideWhenUsed/>
    <w:rsid w:val="00C359FC"/>
    <w:pPr>
      <w:spacing w:after="0" w:line="240" w:lineRule="auto"/>
    </w:pPr>
    <w:rPr>
      <w:rFonts w:asciiTheme="minorHAnsi" w:eastAsiaTheme="minorEastAsia" w:hAnsiTheme="minorHAnsi" w:cstheme="minorBidi"/>
      <w:sz w:val="20"/>
      <w:szCs w:val="20"/>
      <w:lang w:val="en-GB" w:bidi="ar-SA"/>
    </w:rPr>
  </w:style>
  <w:style w:type="character" w:customStyle="1" w:styleId="EndnoteTextChar">
    <w:name w:val="Endnote Text Char"/>
    <w:basedOn w:val="DefaultParagraphFont"/>
    <w:link w:val="EndnoteText"/>
    <w:uiPriority w:val="99"/>
    <w:rsid w:val="00C359FC"/>
    <w:rPr>
      <w:rFonts w:asciiTheme="minorHAnsi" w:eastAsiaTheme="minorEastAsia" w:hAnsiTheme="minorHAnsi" w:cstheme="minorBidi"/>
      <w:sz w:val="20"/>
      <w:szCs w:val="20"/>
      <w:lang w:val="en-GB" w:bidi="ar-SA"/>
    </w:rPr>
  </w:style>
  <w:style w:type="character" w:styleId="EndnoteReference">
    <w:name w:val="endnote reference"/>
    <w:basedOn w:val="DefaultParagraphFont"/>
    <w:uiPriority w:val="99"/>
    <w:semiHidden/>
    <w:unhideWhenUsed/>
    <w:rsid w:val="00C359FC"/>
    <w:rPr>
      <w:vertAlign w:val="superscript"/>
    </w:rPr>
  </w:style>
  <w:style w:type="paragraph" w:customStyle="1" w:styleId="Default">
    <w:name w:val="Default"/>
    <w:rsid w:val="005F48FA"/>
    <w:pPr>
      <w:autoSpaceDE w:val="0"/>
      <w:autoSpaceDN w:val="0"/>
      <w:adjustRightInd w:val="0"/>
      <w:spacing w:after="0" w:line="240" w:lineRule="auto"/>
    </w:pPr>
    <w:rPr>
      <w:rFonts w:ascii="Credit Suisse Type" w:hAnsi="Credit Suisse Type" w:cs="Credit Suisse Type"/>
      <w:color w:val="000000"/>
      <w:lang w:bidi="ar-SA"/>
    </w:rPr>
  </w:style>
  <w:style w:type="character" w:customStyle="1" w:styleId="Heading1Char">
    <w:name w:val="Heading 1 Char"/>
    <w:basedOn w:val="DefaultParagraphFont"/>
    <w:link w:val="Heading1"/>
    <w:uiPriority w:val="9"/>
    <w:rsid w:val="00DD0743"/>
    <w:rPr>
      <w:rFonts w:asciiTheme="majorHAnsi" w:eastAsiaTheme="majorEastAsia" w:hAnsiTheme="majorHAnsi" w:cstheme="majorBidi"/>
      <w:color w:val="2F5496" w:themeColor="accent1" w:themeShade="BF"/>
      <w:sz w:val="32"/>
      <w:szCs w:val="29"/>
    </w:rPr>
  </w:style>
  <w:style w:type="character" w:customStyle="1" w:styleId="Heading5Char">
    <w:name w:val="Heading 5 Char"/>
    <w:basedOn w:val="DefaultParagraphFont"/>
    <w:link w:val="Heading5"/>
    <w:uiPriority w:val="9"/>
    <w:semiHidden/>
    <w:rsid w:val="00984208"/>
    <w:rPr>
      <w:rFonts w:asciiTheme="majorHAnsi" w:eastAsiaTheme="majorEastAsia" w:hAnsiTheme="majorHAnsi" w:cstheme="majorBidi"/>
      <w:color w:val="2F5496" w:themeColor="accent1" w:themeShade="B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90966">
      <w:bodyDiv w:val="1"/>
      <w:marLeft w:val="0"/>
      <w:marRight w:val="0"/>
      <w:marTop w:val="0"/>
      <w:marBottom w:val="0"/>
      <w:divBdr>
        <w:top w:val="none" w:sz="0" w:space="0" w:color="auto"/>
        <w:left w:val="none" w:sz="0" w:space="0" w:color="auto"/>
        <w:bottom w:val="none" w:sz="0" w:space="0" w:color="auto"/>
        <w:right w:val="none" w:sz="0" w:space="0" w:color="auto"/>
      </w:divBdr>
    </w:div>
    <w:div w:id="573047235">
      <w:bodyDiv w:val="1"/>
      <w:marLeft w:val="0"/>
      <w:marRight w:val="0"/>
      <w:marTop w:val="0"/>
      <w:marBottom w:val="0"/>
      <w:divBdr>
        <w:top w:val="none" w:sz="0" w:space="0" w:color="auto"/>
        <w:left w:val="none" w:sz="0" w:space="0" w:color="auto"/>
        <w:bottom w:val="none" w:sz="0" w:space="0" w:color="auto"/>
        <w:right w:val="none" w:sz="0" w:space="0" w:color="auto"/>
      </w:divBdr>
    </w:div>
    <w:div w:id="579219443">
      <w:bodyDiv w:val="1"/>
      <w:marLeft w:val="0"/>
      <w:marRight w:val="0"/>
      <w:marTop w:val="0"/>
      <w:marBottom w:val="0"/>
      <w:divBdr>
        <w:top w:val="none" w:sz="0" w:space="0" w:color="auto"/>
        <w:left w:val="none" w:sz="0" w:space="0" w:color="auto"/>
        <w:bottom w:val="none" w:sz="0" w:space="0" w:color="auto"/>
        <w:right w:val="none" w:sz="0" w:space="0" w:color="auto"/>
      </w:divBdr>
    </w:div>
    <w:div w:id="643779851">
      <w:bodyDiv w:val="1"/>
      <w:marLeft w:val="0"/>
      <w:marRight w:val="0"/>
      <w:marTop w:val="0"/>
      <w:marBottom w:val="0"/>
      <w:divBdr>
        <w:top w:val="none" w:sz="0" w:space="0" w:color="auto"/>
        <w:left w:val="none" w:sz="0" w:space="0" w:color="auto"/>
        <w:bottom w:val="none" w:sz="0" w:space="0" w:color="auto"/>
        <w:right w:val="none" w:sz="0" w:space="0" w:color="auto"/>
      </w:divBdr>
    </w:div>
    <w:div w:id="793794316">
      <w:bodyDiv w:val="1"/>
      <w:marLeft w:val="0"/>
      <w:marRight w:val="0"/>
      <w:marTop w:val="0"/>
      <w:marBottom w:val="0"/>
      <w:divBdr>
        <w:top w:val="none" w:sz="0" w:space="0" w:color="auto"/>
        <w:left w:val="none" w:sz="0" w:space="0" w:color="auto"/>
        <w:bottom w:val="none" w:sz="0" w:space="0" w:color="auto"/>
        <w:right w:val="none" w:sz="0" w:space="0" w:color="auto"/>
      </w:divBdr>
    </w:div>
    <w:div w:id="172818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D1B8F-B576-4403-8458-A0E739A6A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4866</Words>
  <Characters>24772</Characters>
  <Application>Microsoft Office Word</Application>
  <DocSecurity>4</DocSecurity>
  <Lines>750</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Rehayem</dc:creator>
  <cp:keywords/>
  <dc:description/>
  <cp:lastModifiedBy>Therese McGrath</cp:lastModifiedBy>
  <cp:revision>2</cp:revision>
  <cp:lastPrinted>2026-02-17T05:28:00Z</cp:lastPrinted>
  <dcterms:created xsi:type="dcterms:W3CDTF">2026-02-18T06:00:00Z</dcterms:created>
  <dcterms:modified xsi:type="dcterms:W3CDTF">2026-02-18T06:00:00Z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a39f61-9a8d-4c58-aba5-affc39e9860d_Enabled">
    <vt:lpwstr>true</vt:lpwstr>
  </property>
  <property fmtid="{D5CDD505-2E9C-101B-9397-08002B2CF9AE}" pid="3" name="MSIP_Label_b6a39f61-9a8d-4c58-aba5-affc39e9860d_SetDate">
    <vt:lpwstr>2022-08-20T12:01:40Z</vt:lpwstr>
  </property>
  <property fmtid="{D5CDD505-2E9C-101B-9397-08002B2CF9AE}" pid="4" name="MSIP_Label_b6a39f61-9a8d-4c58-aba5-affc39e9860d_Method">
    <vt:lpwstr>Privileged</vt:lpwstr>
  </property>
  <property fmtid="{D5CDD505-2E9C-101B-9397-08002B2CF9AE}" pid="5" name="MSIP_Label_b6a39f61-9a8d-4c58-aba5-affc39e9860d_Name">
    <vt:lpwstr>Confidential</vt:lpwstr>
  </property>
  <property fmtid="{D5CDD505-2E9C-101B-9397-08002B2CF9AE}" pid="6" name="MSIP_Label_b6a39f61-9a8d-4c58-aba5-affc39e9860d_SiteId">
    <vt:lpwstr>9c4a6e52-9234-4976-a921-ff37596a2a0a</vt:lpwstr>
  </property>
  <property fmtid="{D5CDD505-2E9C-101B-9397-08002B2CF9AE}" pid="7" name="MSIP_Label_b6a39f61-9a8d-4c58-aba5-affc39e9860d_ActionId">
    <vt:lpwstr>83824647-8f79-4b19-8a35-9bc51aa8ad36</vt:lpwstr>
  </property>
  <property fmtid="{D5CDD505-2E9C-101B-9397-08002B2CF9AE}" pid="8" name="MSIP_Label_b6a39f61-9a8d-4c58-aba5-affc39e9860d_ContentBits">
    <vt:lpwstr>0</vt:lpwstr>
  </property>
</Properties>
</file>