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4E36" w14:textId="7B594129" w:rsidR="00FC2521" w:rsidRPr="00A03679" w:rsidRDefault="00FC2521" w:rsidP="00A03679">
      <w:pPr>
        <w:tabs>
          <w:tab w:val="left" w:pos="7380"/>
        </w:tabs>
        <w:spacing w:after="0" w:line="240" w:lineRule="auto"/>
        <w:rPr>
          <w:b/>
          <w:bCs/>
          <w:sz w:val="20"/>
          <w:szCs w:val="20"/>
        </w:rPr>
      </w:pPr>
      <w:bookmarkStart w:id="0" w:name="_Hlk190955430"/>
      <w:bookmarkEnd w:id="0"/>
    </w:p>
    <w:p w14:paraId="2A25B00A" w14:textId="02DF4A13"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4B297798" w14:textId="10DDE102"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2B0DCB97" w14:textId="4B482CBB"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2AE8E9B6" w14:textId="445AB48C"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66CD38FF" w14:textId="6A107C2E"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1578DFFB" w14:textId="59356FE8"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7212FB4F" w14:textId="77777777" w:rsidR="00FC2521" w:rsidRPr="00A03679" w:rsidRDefault="00FC2521" w:rsidP="00A03679">
      <w:pPr>
        <w:tabs>
          <w:tab w:val="left" w:pos="7380"/>
        </w:tabs>
        <w:spacing w:after="0" w:line="240" w:lineRule="auto"/>
        <w:rPr>
          <w:rFonts w:ascii="Brandon Grotesque Regular" w:hAnsi="Brandon Grotesque Regular"/>
          <w:b/>
          <w:bCs/>
          <w:sz w:val="48"/>
          <w:szCs w:val="48"/>
        </w:rPr>
      </w:pPr>
    </w:p>
    <w:p w14:paraId="6A75BEB7" w14:textId="77777777" w:rsidR="00F408E1" w:rsidRDefault="00F408E1" w:rsidP="00A03679">
      <w:pPr>
        <w:pStyle w:val="NoParagraphStyle"/>
        <w:spacing w:line="240" w:lineRule="auto"/>
        <w:rPr>
          <w:rFonts w:ascii="Brandon Grotesque Regular" w:hAnsi="Brandon Grotesque Regular" w:cs="Arial"/>
          <w:color w:val="000000" w:themeColor="text1"/>
          <w:sz w:val="48"/>
          <w:szCs w:val="48"/>
        </w:rPr>
      </w:pPr>
    </w:p>
    <w:p w14:paraId="3A6C053A" w14:textId="77777777" w:rsidR="00F408E1" w:rsidRDefault="00F408E1" w:rsidP="00A03679">
      <w:pPr>
        <w:pStyle w:val="NoParagraphStyle"/>
        <w:spacing w:line="240" w:lineRule="auto"/>
        <w:rPr>
          <w:rFonts w:ascii="Brandon Grotesque Regular" w:hAnsi="Brandon Grotesque Regular" w:cs="Arial"/>
          <w:color w:val="000000" w:themeColor="text1"/>
          <w:sz w:val="48"/>
          <w:szCs w:val="48"/>
        </w:rPr>
      </w:pPr>
    </w:p>
    <w:p w14:paraId="7D16F5CA" w14:textId="77777777" w:rsidR="00F408E1" w:rsidRDefault="00F408E1" w:rsidP="00A03679">
      <w:pPr>
        <w:pStyle w:val="NoParagraphStyle"/>
        <w:spacing w:line="240" w:lineRule="auto"/>
        <w:rPr>
          <w:rFonts w:ascii="Brandon Grotesque Regular" w:hAnsi="Brandon Grotesque Regular" w:cs="Arial"/>
          <w:color w:val="000000" w:themeColor="text1"/>
          <w:sz w:val="48"/>
          <w:szCs w:val="48"/>
        </w:rPr>
      </w:pPr>
    </w:p>
    <w:p w14:paraId="5937AEBA" w14:textId="77777777" w:rsidR="00F408E1" w:rsidRDefault="00F408E1" w:rsidP="00A03679">
      <w:pPr>
        <w:pStyle w:val="NoParagraphStyle"/>
        <w:spacing w:line="240" w:lineRule="auto"/>
        <w:rPr>
          <w:rFonts w:ascii="Brandon Grotesque Regular" w:hAnsi="Brandon Grotesque Regular" w:cs="Arial"/>
          <w:color w:val="000000" w:themeColor="text1"/>
          <w:sz w:val="48"/>
          <w:szCs w:val="48"/>
        </w:rPr>
      </w:pPr>
    </w:p>
    <w:p w14:paraId="4F59844C" w14:textId="74E03AAB"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Pepper Money Limited</w:t>
      </w:r>
    </w:p>
    <w:p w14:paraId="383531AD" w14:textId="77777777"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bookmarkStart w:id="1" w:name="_Hlk101257235"/>
    </w:p>
    <w:p w14:paraId="6BBF7A0F" w14:textId="1B9885A3"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202</w:t>
      </w:r>
      <w:r w:rsidR="00F244AB">
        <w:rPr>
          <w:rFonts w:ascii="Brandon Grotesque Regular" w:hAnsi="Brandon Grotesque Regular" w:cs="Arial"/>
          <w:color w:val="000000" w:themeColor="text1"/>
          <w:sz w:val="48"/>
          <w:szCs w:val="48"/>
        </w:rPr>
        <w:t>5 Half</w:t>
      </w:r>
      <w:r w:rsidR="00EB3E80" w:rsidRPr="00A03679">
        <w:rPr>
          <w:rFonts w:ascii="Brandon Grotesque Regular" w:hAnsi="Brandon Grotesque Regular" w:cs="Arial"/>
          <w:color w:val="000000" w:themeColor="text1"/>
          <w:sz w:val="48"/>
          <w:szCs w:val="48"/>
        </w:rPr>
        <w:t xml:space="preserve"> Year </w:t>
      </w:r>
      <w:r w:rsidRPr="00A03679">
        <w:rPr>
          <w:rFonts w:ascii="Brandon Grotesque Regular" w:hAnsi="Brandon Grotesque Regular" w:cs="Arial"/>
          <w:color w:val="000000" w:themeColor="text1"/>
          <w:sz w:val="48"/>
          <w:szCs w:val="48"/>
        </w:rPr>
        <w:t>Results Presentation</w:t>
      </w:r>
    </w:p>
    <w:p w14:paraId="71289CC9" w14:textId="0F96C6A4" w:rsidR="00DF734C" w:rsidRPr="00A03679" w:rsidRDefault="00DF734C"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Script</w:t>
      </w:r>
    </w:p>
    <w:p w14:paraId="2BBA84D7"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2D86FB7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2E6978B1"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1EB88B47" w14:textId="77777777" w:rsidR="00EA6F5F" w:rsidRPr="00A03679" w:rsidRDefault="00EA6F5F" w:rsidP="00A03679">
      <w:pPr>
        <w:pStyle w:val="NoParagraphStyle"/>
        <w:spacing w:line="240" w:lineRule="auto"/>
        <w:rPr>
          <w:rFonts w:ascii="Brandon Grotesque Regular" w:hAnsi="Brandon Grotesque Regular" w:cs="Arial"/>
          <w:b/>
          <w:bCs/>
          <w:color w:val="000000" w:themeColor="text1"/>
          <w:sz w:val="48"/>
          <w:szCs w:val="48"/>
        </w:rPr>
      </w:pPr>
    </w:p>
    <w:p w14:paraId="663EBF9B" w14:textId="6125CD4D" w:rsidR="00BE3CCB" w:rsidRPr="00A03679" w:rsidRDefault="00EA6F5F" w:rsidP="00A03679">
      <w:pPr>
        <w:pStyle w:val="NoParagraphStyle"/>
        <w:spacing w:line="240" w:lineRule="auto"/>
        <w:rPr>
          <w:rFonts w:ascii="Brandon Grotesque Regular" w:hAnsi="Brandon Grotesque Regular" w:cs="Arial"/>
          <w:b/>
          <w:bCs/>
          <w:color w:val="000000" w:themeColor="text1"/>
          <w:sz w:val="48"/>
          <w:szCs w:val="48"/>
        </w:rPr>
      </w:pPr>
      <w:r w:rsidRPr="00A03679">
        <w:rPr>
          <w:rFonts w:ascii="Brandon Grotesque Regular" w:hAnsi="Brandon Grotesque Regular" w:cs="Arial"/>
          <w:b/>
          <w:bCs/>
          <w:color w:val="000000" w:themeColor="text1"/>
          <w:sz w:val="48"/>
          <w:szCs w:val="48"/>
        </w:rPr>
        <w:t xml:space="preserve">Results: </w:t>
      </w:r>
      <w:r w:rsidR="0012343F" w:rsidRPr="00A03679">
        <w:rPr>
          <w:rFonts w:ascii="Brandon Grotesque Regular" w:hAnsi="Brandon Grotesque Regular" w:cs="Arial"/>
          <w:b/>
          <w:bCs/>
          <w:color w:val="000000" w:themeColor="text1"/>
          <w:sz w:val="48"/>
          <w:szCs w:val="48"/>
        </w:rPr>
        <w:t xml:space="preserve">Thursday </w:t>
      </w:r>
      <w:r w:rsidR="00F244AB">
        <w:rPr>
          <w:rFonts w:ascii="Brandon Grotesque Regular" w:hAnsi="Brandon Grotesque Regular" w:cs="Arial"/>
          <w:b/>
          <w:bCs/>
          <w:color w:val="000000" w:themeColor="text1"/>
          <w:sz w:val="48"/>
          <w:szCs w:val="48"/>
        </w:rPr>
        <w:t>21 August 2025</w:t>
      </w:r>
    </w:p>
    <w:p w14:paraId="1049972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72382740"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6F46C70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094E05ED"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1146195C"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r w:rsidRPr="00A03679">
        <w:rPr>
          <w:rFonts w:ascii="Brandon Grotesque Regular" w:hAnsi="Brandon Grotesque Regular" w:cs="Arial"/>
          <w:color w:val="000000" w:themeColor="text1"/>
          <w:sz w:val="20"/>
          <w:szCs w:val="20"/>
        </w:rPr>
        <w:br w:type="page"/>
      </w:r>
    </w:p>
    <w:bookmarkEnd w:id="1"/>
    <w:p w14:paraId="6A15266F" w14:textId="6079F838" w:rsidR="00EB3E80" w:rsidRPr="00F408E1" w:rsidRDefault="00EB3E80" w:rsidP="00F408E1">
      <w:pPr>
        <w:spacing w:after="0" w:line="240" w:lineRule="auto"/>
        <w:rPr>
          <w:rFonts w:ascii="Brandon Grotesque Regular" w:eastAsiaTheme="minorEastAsia" w:hAnsi="Brandon Grotesque Regular"/>
          <w:b/>
          <w:bCs/>
          <w:caps/>
          <w:color w:val="002060"/>
          <w:spacing w:val="80"/>
          <w:sz w:val="20"/>
          <w:szCs w:val="20"/>
          <w:lang w:val="en-GB" w:bidi="ar-SA"/>
        </w:rPr>
      </w:pPr>
      <w:r w:rsidRPr="00F408E1">
        <w:rPr>
          <w:rFonts w:ascii="Brandon Grotesque Regular" w:eastAsiaTheme="minorEastAsia" w:hAnsi="Brandon Grotesque Regular"/>
          <w:b/>
          <w:bCs/>
          <w:caps/>
          <w:color w:val="002060"/>
          <w:spacing w:val="80"/>
          <w:sz w:val="20"/>
          <w:szCs w:val="20"/>
          <w:lang w:val="en-GB" w:bidi="ar-SA"/>
        </w:rPr>
        <w:lastRenderedPageBreak/>
        <w:t>SLIDE 2</w:t>
      </w:r>
    </w:p>
    <w:p w14:paraId="7CA10186" w14:textId="417054A6" w:rsidR="00F244AB" w:rsidRDefault="00F244AB" w:rsidP="00F408E1">
      <w:pPr>
        <w:spacing w:after="0" w:line="240" w:lineRule="auto"/>
        <w:jc w:val="both"/>
        <w:rPr>
          <w:rFonts w:ascii="Brandon Grotesque Regular" w:eastAsiaTheme="minorEastAsia" w:hAnsi="Brandon Grotesque Regular" w:cstheme="minorHAnsi"/>
          <w:color w:val="000000" w:themeColor="text1"/>
          <w:sz w:val="20"/>
          <w:szCs w:val="20"/>
          <w:lang w:val="en-GB" w:bidi="ar-SA"/>
        </w:rPr>
      </w:pPr>
    </w:p>
    <w:p w14:paraId="158ADAF4" w14:textId="4841D52E" w:rsidR="00F244AB" w:rsidRPr="00246004" w:rsidRDefault="00F244AB"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Good morning, everyone and welcome to Pepper Money Limited’s 2025 half year results presentation. </w:t>
      </w:r>
    </w:p>
    <w:p w14:paraId="7C6C47F9" w14:textId="77777777" w:rsidR="00F244AB" w:rsidRPr="00246004" w:rsidRDefault="00F244AB"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p>
    <w:p w14:paraId="0B2B7768" w14:textId="5240A428" w:rsidR="00EB3E80" w:rsidRPr="00246004" w:rsidRDefault="00F244AB"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My name is Gordon Livingstone - Investor Relations at Pepper Money </w:t>
      </w:r>
    </w:p>
    <w:p w14:paraId="1D908648" w14:textId="77777777" w:rsidR="00EB3E80" w:rsidRPr="00246004" w:rsidRDefault="00EB3E80" w:rsidP="00F408E1">
      <w:pPr>
        <w:pStyle w:val="ListParagraph"/>
        <w:spacing w:after="0" w:line="240" w:lineRule="auto"/>
        <w:ind w:left="0"/>
        <w:jc w:val="both"/>
        <w:rPr>
          <w:rFonts w:ascii="Brandon Grotesque Regular" w:eastAsiaTheme="minorEastAsia" w:hAnsi="Brandon Grotesque Regular" w:cstheme="minorHAnsi"/>
          <w:color w:val="000000" w:themeColor="text1"/>
          <w:sz w:val="22"/>
          <w:szCs w:val="22"/>
          <w:lang w:val="en-GB" w:bidi="ar-SA"/>
        </w:rPr>
      </w:pPr>
    </w:p>
    <w:p w14:paraId="4C7C4628" w14:textId="1419828D" w:rsidR="00EB3E80" w:rsidRPr="00246004" w:rsidRDefault="00EB3E80"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I would like to begin by acknowledging the traditional custodians of the land on which we meet today, the Gadigal people of the Eora Nation. We pay our respects to each of their Elders, past</w:t>
      </w:r>
      <w:r w:rsidR="00C60E09" w:rsidRPr="00246004">
        <w:rPr>
          <w:rFonts w:ascii="Brandon Grotesque Regular" w:eastAsiaTheme="minorEastAsia" w:hAnsi="Brandon Grotesque Regular" w:cstheme="minorHAnsi"/>
          <w:color w:val="000000" w:themeColor="text1"/>
          <w:sz w:val="22"/>
          <w:szCs w:val="22"/>
          <w:lang w:val="en-GB" w:bidi="ar-SA"/>
        </w:rPr>
        <w:t xml:space="preserve"> and</w:t>
      </w:r>
      <w:r w:rsidRPr="00246004">
        <w:rPr>
          <w:rFonts w:ascii="Brandon Grotesque Regular" w:eastAsiaTheme="minorEastAsia" w:hAnsi="Brandon Grotesque Regular" w:cstheme="minorHAnsi"/>
          <w:color w:val="000000" w:themeColor="text1"/>
          <w:sz w:val="22"/>
          <w:szCs w:val="22"/>
          <w:lang w:val="en-GB" w:bidi="ar-SA"/>
        </w:rPr>
        <w:t xml:space="preserve"> present</w:t>
      </w:r>
      <w:r w:rsidR="00C60E09" w:rsidRPr="00246004">
        <w:rPr>
          <w:rFonts w:ascii="Brandon Grotesque Regular" w:eastAsiaTheme="minorEastAsia" w:hAnsi="Brandon Grotesque Regular" w:cstheme="minorHAnsi"/>
          <w:color w:val="000000" w:themeColor="text1"/>
          <w:sz w:val="22"/>
          <w:szCs w:val="22"/>
          <w:lang w:val="en-GB" w:bidi="ar-SA"/>
        </w:rPr>
        <w:t>.</w:t>
      </w:r>
    </w:p>
    <w:p w14:paraId="33B4FC6C" w14:textId="77777777" w:rsidR="00EB3E80" w:rsidRPr="00A03679" w:rsidRDefault="00EB3E80" w:rsidP="00F408E1">
      <w:pPr>
        <w:spacing w:after="0" w:line="240" w:lineRule="auto"/>
        <w:rPr>
          <w:rFonts w:ascii="Brandon Grotesque Regular" w:eastAsiaTheme="minorEastAsia" w:hAnsi="Brandon Grotesque Regular"/>
          <w:b/>
          <w:bCs/>
          <w:caps/>
          <w:color w:val="002060"/>
          <w:spacing w:val="80"/>
          <w:sz w:val="20"/>
          <w:szCs w:val="20"/>
          <w:lang w:val="en-GB" w:bidi="ar-SA"/>
        </w:rPr>
      </w:pPr>
    </w:p>
    <w:p w14:paraId="36838E5C" w14:textId="44EB1451" w:rsidR="00291D3F" w:rsidRPr="00F408E1" w:rsidRDefault="00EB3E80" w:rsidP="00F408E1">
      <w:pPr>
        <w:spacing w:after="0" w:line="240" w:lineRule="auto"/>
        <w:rPr>
          <w:rFonts w:ascii="Brandon Grotesque Regular" w:eastAsiaTheme="minorEastAsia" w:hAnsi="Brandon Grotesque Regular"/>
          <w:b/>
          <w:bCs/>
          <w:caps/>
          <w:noProof/>
          <w:color w:val="002060"/>
          <w:spacing w:val="80"/>
          <w:sz w:val="20"/>
          <w:szCs w:val="20"/>
          <w:lang w:val="en-GB" w:bidi="ar-SA"/>
        </w:rPr>
      </w:pPr>
      <w:r w:rsidRPr="00F408E1">
        <w:rPr>
          <w:rFonts w:ascii="Brandon Grotesque Regular" w:eastAsiaTheme="minorEastAsia" w:hAnsi="Brandon Grotesque Regular"/>
          <w:b/>
          <w:bCs/>
          <w:caps/>
          <w:color w:val="002060"/>
          <w:spacing w:val="80"/>
          <w:sz w:val="20"/>
          <w:szCs w:val="20"/>
          <w:lang w:val="en-GB" w:bidi="ar-SA"/>
        </w:rPr>
        <w:t>S</w:t>
      </w:r>
      <w:r w:rsidR="00291D3F" w:rsidRPr="00F408E1">
        <w:rPr>
          <w:rFonts w:ascii="Brandon Grotesque Regular" w:eastAsiaTheme="minorEastAsia" w:hAnsi="Brandon Grotesque Regular"/>
          <w:b/>
          <w:bCs/>
          <w:caps/>
          <w:color w:val="002060"/>
          <w:spacing w:val="80"/>
          <w:sz w:val="20"/>
          <w:szCs w:val="20"/>
          <w:lang w:val="en-GB" w:bidi="ar-SA"/>
        </w:rPr>
        <w:t xml:space="preserve">lide number </w:t>
      </w:r>
      <w:r w:rsidRPr="00F408E1">
        <w:rPr>
          <w:rFonts w:ascii="Brandon Grotesque Regular" w:eastAsiaTheme="minorEastAsia" w:hAnsi="Brandon Grotesque Regular"/>
          <w:b/>
          <w:bCs/>
          <w:caps/>
          <w:color w:val="002060"/>
          <w:spacing w:val="80"/>
          <w:sz w:val="20"/>
          <w:szCs w:val="20"/>
          <w:lang w:val="en-GB" w:bidi="ar-SA"/>
        </w:rPr>
        <w:t>3</w:t>
      </w:r>
    </w:p>
    <w:p w14:paraId="04E2EDE5" w14:textId="41EB2DFC" w:rsidR="002452AA" w:rsidRDefault="002452AA" w:rsidP="00F408E1">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089F08AE" w14:textId="0BBC98FE" w:rsidR="00EB3E80" w:rsidRPr="00246004" w:rsidRDefault="00DB28A7"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Today, </w:t>
      </w:r>
      <w:r w:rsidR="002452AA" w:rsidRPr="00246004">
        <w:rPr>
          <w:rFonts w:ascii="Brandon Grotesque Regular" w:eastAsiaTheme="minorEastAsia" w:hAnsi="Brandon Grotesque Regular" w:cstheme="minorHAnsi"/>
          <w:color w:val="000000" w:themeColor="text1"/>
          <w:sz w:val="22"/>
          <w:szCs w:val="22"/>
          <w:lang w:val="en-GB" w:bidi="ar-SA"/>
        </w:rPr>
        <w:t xml:space="preserve">Pepper Money's CEO - Mario Rehayem </w:t>
      </w:r>
      <w:r w:rsidRPr="00246004">
        <w:rPr>
          <w:rFonts w:ascii="Brandon Grotesque Regular" w:eastAsiaTheme="minorEastAsia" w:hAnsi="Brandon Grotesque Regular" w:cstheme="minorHAnsi"/>
          <w:color w:val="000000" w:themeColor="text1"/>
          <w:sz w:val="22"/>
          <w:szCs w:val="22"/>
          <w:lang w:val="en-GB" w:bidi="ar-SA"/>
        </w:rPr>
        <w:t xml:space="preserve">- will provide a business update after which </w:t>
      </w:r>
      <w:r w:rsidR="002452AA" w:rsidRPr="00246004">
        <w:rPr>
          <w:rFonts w:ascii="Brandon Grotesque Regular" w:eastAsiaTheme="minorEastAsia" w:hAnsi="Brandon Grotesque Regular" w:cstheme="minorHAnsi"/>
          <w:color w:val="000000" w:themeColor="text1"/>
          <w:sz w:val="22"/>
          <w:szCs w:val="22"/>
          <w:lang w:val="en-GB" w:bidi="ar-SA"/>
        </w:rPr>
        <w:t xml:space="preserve">Pepper Money’s CFO - </w:t>
      </w:r>
      <w:r w:rsidR="00D636AA" w:rsidRPr="00246004">
        <w:rPr>
          <w:rFonts w:ascii="Brandon Grotesque Regular" w:eastAsiaTheme="minorEastAsia" w:hAnsi="Brandon Grotesque Regular" w:cstheme="minorHAnsi"/>
          <w:color w:val="000000" w:themeColor="text1"/>
          <w:sz w:val="22"/>
          <w:szCs w:val="22"/>
          <w:lang w:val="en-GB" w:bidi="ar-SA"/>
        </w:rPr>
        <w:t xml:space="preserve">Therese McGrath - will </w:t>
      </w:r>
      <w:r w:rsidR="00806FC0" w:rsidRPr="00246004">
        <w:rPr>
          <w:rFonts w:ascii="Brandon Grotesque Regular" w:eastAsiaTheme="minorEastAsia" w:hAnsi="Brandon Grotesque Regular" w:cstheme="minorHAnsi"/>
          <w:color w:val="000000" w:themeColor="text1"/>
          <w:sz w:val="22"/>
          <w:szCs w:val="22"/>
          <w:lang w:val="en-GB" w:bidi="ar-SA"/>
        </w:rPr>
        <w:t xml:space="preserve">take </w:t>
      </w:r>
      <w:r w:rsidR="002452AA" w:rsidRPr="00246004">
        <w:rPr>
          <w:rFonts w:ascii="Brandon Grotesque Regular" w:eastAsiaTheme="minorEastAsia" w:hAnsi="Brandon Grotesque Regular" w:cstheme="minorHAnsi"/>
          <w:color w:val="000000" w:themeColor="text1"/>
          <w:sz w:val="22"/>
          <w:szCs w:val="22"/>
          <w:lang w:val="en-GB" w:bidi="ar-SA"/>
        </w:rPr>
        <w:t xml:space="preserve">us through the financial performance. </w:t>
      </w:r>
    </w:p>
    <w:p w14:paraId="61B0CD3A" w14:textId="77777777" w:rsidR="00EB3E80" w:rsidRPr="00246004" w:rsidRDefault="00EB3E80"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p>
    <w:p w14:paraId="3FC61E90" w14:textId="77777777" w:rsidR="00F244AB" w:rsidRPr="00246004" w:rsidRDefault="00F244AB"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After some closing remarks by Mario - there will be an opportunity to ask questions, which can be either via phone, or submitted via the portal. </w:t>
      </w:r>
    </w:p>
    <w:p w14:paraId="2E8F5DAB" w14:textId="77777777" w:rsidR="00F244AB" w:rsidRPr="00246004" w:rsidRDefault="00F244AB"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p>
    <w:p w14:paraId="4D093D6A" w14:textId="77777777" w:rsidR="00F244AB" w:rsidRDefault="00F244AB" w:rsidP="00F408E1">
      <w:pPr>
        <w:spacing w:after="0" w:line="240" w:lineRule="auto"/>
        <w:jc w:val="both"/>
        <w:rPr>
          <w:rFonts w:ascii="Halis R Regular" w:eastAsiaTheme="minorEastAsia" w:hAnsi="Halis R Regular" w:cstheme="minorHAnsi"/>
          <w:color w:val="000000" w:themeColor="text1"/>
          <w:sz w:val="23"/>
          <w:szCs w:val="23"/>
          <w:lang w:val="en-GB" w:bidi="ar-SA"/>
        </w:rPr>
      </w:pPr>
      <w:r w:rsidRPr="00246004">
        <w:rPr>
          <w:rFonts w:ascii="Brandon Grotesque Regular" w:eastAsiaTheme="minorEastAsia" w:hAnsi="Brandon Grotesque Regular" w:cstheme="minorHAnsi"/>
          <w:color w:val="000000" w:themeColor="text1"/>
          <w:sz w:val="22"/>
          <w:szCs w:val="22"/>
          <w:lang w:val="en-GB" w:bidi="ar-SA"/>
        </w:rPr>
        <w:t>I will now pass over to Pepper Money’s CEO – Mario Rehayem</w:t>
      </w:r>
      <w:r w:rsidRPr="00272F75">
        <w:rPr>
          <w:rFonts w:ascii="Halis R Regular" w:eastAsiaTheme="minorEastAsia" w:hAnsi="Halis R Regular" w:cstheme="minorHAnsi"/>
          <w:color w:val="000000" w:themeColor="text1"/>
          <w:sz w:val="23"/>
          <w:szCs w:val="23"/>
          <w:lang w:val="en-GB" w:bidi="ar-SA"/>
        </w:rPr>
        <w:t>.</w:t>
      </w:r>
    </w:p>
    <w:p w14:paraId="47E6ABDE" w14:textId="77777777" w:rsidR="00F408E1" w:rsidRDefault="00F408E1" w:rsidP="00F408E1">
      <w:pPr>
        <w:spacing w:after="0" w:line="240" w:lineRule="auto"/>
        <w:rPr>
          <w:rFonts w:ascii="Brandon Grotesque Regular" w:eastAsiaTheme="minorEastAsia" w:hAnsi="Brandon Grotesque Regular"/>
          <w:caps/>
          <w:color w:val="002060"/>
          <w:spacing w:val="80"/>
          <w:sz w:val="20"/>
          <w:szCs w:val="20"/>
          <w:lang w:val="en-GB" w:bidi="ar-SA"/>
        </w:rPr>
      </w:pPr>
    </w:p>
    <w:p w14:paraId="65C502A1" w14:textId="636229B3" w:rsidR="00291D3F" w:rsidRPr="00F408E1" w:rsidRDefault="00291D3F" w:rsidP="00F408E1">
      <w:pPr>
        <w:spacing w:after="0" w:line="240" w:lineRule="auto"/>
        <w:rPr>
          <w:rFonts w:ascii="Brandon Grotesque Regular" w:eastAsiaTheme="minorEastAsia" w:hAnsi="Brandon Grotesque Regular"/>
          <w:b/>
          <w:bCs/>
          <w:caps/>
          <w:noProof/>
          <w:color w:val="002060"/>
          <w:spacing w:val="80"/>
          <w:sz w:val="20"/>
          <w:szCs w:val="20"/>
          <w:lang w:val="en-GB" w:bidi="ar-SA"/>
        </w:rPr>
      </w:pPr>
      <w:r w:rsidRPr="00F408E1">
        <w:rPr>
          <w:rFonts w:ascii="Brandon Grotesque Regular" w:eastAsiaTheme="minorEastAsia" w:hAnsi="Brandon Grotesque Regular"/>
          <w:b/>
          <w:bCs/>
          <w:caps/>
          <w:color w:val="002060"/>
          <w:spacing w:val="80"/>
          <w:sz w:val="20"/>
          <w:szCs w:val="20"/>
          <w:lang w:val="en-GB" w:bidi="ar-SA"/>
        </w:rPr>
        <w:t>slide number</w:t>
      </w:r>
      <w:r w:rsidR="00C60E09" w:rsidRPr="00F408E1">
        <w:rPr>
          <w:rFonts w:ascii="Brandon Grotesque Regular" w:eastAsiaTheme="minorEastAsia" w:hAnsi="Brandon Grotesque Regular"/>
          <w:b/>
          <w:bCs/>
          <w:caps/>
          <w:color w:val="002060"/>
          <w:spacing w:val="80"/>
          <w:sz w:val="20"/>
          <w:szCs w:val="20"/>
          <w:lang w:val="en-GB" w:bidi="ar-SA"/>
        </w:rPr>
        <w:t xml:space="preserve"> 4</w:t>
      </w:r>
    </w:p>
    <w:p w14:paraId="71F7EE51" w14:textId="77777777" w:rsidR="00E1160B" w:rsidRDefault="00E1160B"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48F909F1" w14:textId="5235B89B"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Thank you, Gordon. And thank you everyone who has dialled in, to today’s call. </w:t>
      </w:r>
    </w:p>
    <w:p w14:paraId="14FF4935"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0A83AE4" w14:textId="01FE9692"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I will start off with our first half key performance highlights for 2025</w:t>
      </w:r>
      <w:r w:rsid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color w:val="000000" w:themeColor="text1"/>
          <w:sz w:val="22"/>
          <w:szCs w:val="22"/>
          <w:lang w:val="en-GB" w:bidi="ar-SA"/>
        </w:rPr>
        <w:t>– on page 4 of the Investor Presentation.</w:t>
      </w:r>
    </w:p>
    <w:p w14:paraId="70E7FEFD"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0F2E18AA"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Without doubt - Pepper Money delivered strong performance across all key drivers, as we continue to execute our strategy: </w:t>
      </w:r>
    </w:p>
    <w:p w14:paraId="7674E2D5" w14:textId="77777777" w:rsidR="006E62ED" w:rsidRPr="00B979DE" w:rsidRDefault="006E62ED" w:rsidP="00F408E1">
      <w:pPr>
        <w:pStyle w:val="ListParagraph"/>
        <w:numPr>
          <w:ilvl w:val="0"/>
          <w:numId w:val="2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Total Originations grew by 38% on PCP to close the half at $4.5 billion.</w:t>
      </w:r>
    </w:p>
    <w:p w14:paraId="7D2F049B" w14:textId="77777777" w:rsidR="006E62ED" w:rsidRPr="00B979DE" w:rsidRDefault="006E62ED" w:rsidP="00F408E1">
      <w:pPr>
        <w:pStyle w:val="ListParagraph"/>
        <w:numPr>
          <w:ilvl w:val="0"/>
          <w:numId w:val="2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hAnsi="Brandon Grotesque Regular" w:cstheme="minorHAnsi"/>
          <w:color w:val="000000" w:themeColor="text1"/>
          <w:sz w:val="22"/>
          <w:szCs w:val="22"/>
        </w:rPr>
        <w:t xml:space="preserve">The strong growth in Mortgages-  which we delivered over the second half of 2024 – has accelerated , and Mortgage Originations at $2.8 billion for the first half of 2025 grew 53% on PCP.  </w:t>
      </w:r>
    </w:p>
    <w:p w14:paraId="0FD098A3" w14:textId="77777777" w:rsidR="006E62ED" w:rsidRPr="00B979DE" w:rsidRDefault="006E62ED" w:rsidP="00F408E1">
      <w:pPr>
        <w:pStyle w:val="ListParagraph"/>
        <w:numPr>
          <w:ilvl w:val="0"/>
          <w:numId w:val="28"/>
        </w:numPr>
        <w:spacing w:after="0" w:line="240" w:lineRule="auto"/>
        <w:rPr>
          <w:rFonts w:ascii="Brandon Grotesque Regular" w:hAnsi="Brandon Grotesque Regular" w:cstheme="minorHAnsi"/>
          <w:color w:val="000000" w:themeColor="text1"/>
          <w:sz w:val="22"/>
          <w:szCs w:val="22"/>
        </w:rPr>
      </w:pPr>
      <w:r w:rsidRPr="00B979DE">
        <w:rPr>
          <w:rFonts w:ascii="Brandon Grotesque Regular" w:hAnsi="Brandon Grotesque Regular" w:cstheme="minorHAnsi"/>
          <w:color w:val="000000" w:themeColor="text1"/>
          <w:sz w:val="22"/>
          <w:szCs w:val="22"/>
        </w:rPr>
        <w:t>Our Asset Finance business also continues to deliver growth - with  Originations at $1.7 billion, up 19% on PCP.</w:t>
      </w:r>
    </w:p>
    <w:p w14:paraId="507C4F19" w14:textId="77777777" w:rsidR="006E62ED" w:rsidRPr="00B979DE" w:rsidRDefault="006E62ED" w:rsidP="00F408E1">
      <w:pPr>
        <w:spacing w:after="0" w:line="240" w:lineRule="auto"/>
        <w:rPr>
          <w:rFonts w:ascii="Brandon Grotesque Regular" w:hAnsi="Brandon Grotesque Regular" w:cstheme="minorHAnsi"/>
          <w:color w:val="000000" w:themeColor="text1"/>
          <w:sz w:val="22"/>
          <w:szCs w:val="22"/>
        </w:rPr>
      </w:pPr>
    </w:p>
    <w:p w14:paraId="4BF36087"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bookmarkStart w:id="2" w:name="_Hlk191449241"/>
      <w:r w:rsidRPr="00B979DE">
        <w:rPr>
          <w:rFonts w:ascii="Brandon Grotesque Regular" w:eastAsiaTheme="minorEastAsia" w:hAnsi="Brandon Grotesque Regular" w:cstheme="minorHAnsi"/>
          <w:color w:val="000000" w:themeColor="text1"/>
          <w:sz w:val="22"/>
          <w:szCs w:val="22"/>
          <w:lang w:val="en-GB" w:bidi="ar-SA"/>
        </w:rPr>
        <w:t xml:space="preserve">Total Assets Under Management - which is a key foundation of future profitability – closed 30 June 2025 at $20.1 billion – a new record for Pepper Money: </w:t>
      </w:r>
    </w:p>
    <w:p w14:paraId="52CAEAD7" w14:textId="77777777" w:rsidR="006E62ED" w:rsidRPr="00B979DE" w:rsidRDefault="006E62ED" w:rsidP="00F408E1">
      <w:pPr>
        <w:pStyle w:val="ListParagraph"/>
        <w:numPr>
          <w:ilvl w:val="0"/>
          <w:numId w:val="2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Mortgage AUM closed June 2025 at $9.5 billion, following three mortgage Whole Loan Sales totalling $1.7 billion over the first half of 2025. </w:t>
      </w:r>
    </w:p>
    <w:p w14:paraId="4DA0251A" w14:textId="77777777" w:rsidR="006E62ED" w:rsidRPr="00B979DE" w:rsidRDefault="006E62ED" w:rsidP="00F408E1">
      <w:pPr>
        <w:pStyle w:val="ListParagraph"/>
        <w:numPr>
          <w:ilvl w:val="0"/>
          <w:numId w:val="2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Asset Finance AUM closed the half at $6.3 billion, an increase of 11% on PCP; and </w:t>
      </w:r>
    </w:p>
    <w:p w14:paraId="13BC3EF9" w14:textId="77777777" w:rsidR="006E62ED" w:rsidRPr="00B979DE" w:rsidRDefault="006E62ED" w:rsidP="00F408E1">
      <w:pPr>
        <w:pStyle w:val="ListParagraph"/>
        <w:numPr>
          <w:ilvl w:val="0"/>
          <w:numId w:val="2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Servicing AUM closed June 2025 at $4.3 billion, up $2.1 billion on PCP, following growth in our Whole Loan Sales program. </w:t>
      </w:r>
    </w:p>
    <w:bookmarkEnd w:id="2"/>
    <w:p w14:paraId="37C898D8"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59C6DC3"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We continue to balance volume growth with margin and profitability, given our strategy of managing for value:</w:t>
      </w:r>
    </w:p>
    <w:p w14:paraId="7D2B9CC4" w14:textId="548480C0" w:rsidR="006E62ED" w:rsidRPr="00B979DE" w:rsidRDefault="006E62ED" w:rsidP="00F408E1">
      <w:pPr>
        <w:pStyle w:val="ListParagraph"/>
        <w:numPr>
          <w:ilvl w:val="0"/>
          <w:numId w:val="32"/>
        </w:num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Total Net Interest </w:t>
      </w:r>
      <w:r w:rsidR="00B979DE">
        <w:rPr>
          <w:rFonts w:ascii="Brandon Grotesque Regular" w:eastAsiaTheme="minorEastAsia" w:hAnsi="Brandon Grotesque Regular" w:cstheme="minorHAnsi"/>
          <w:color w:val="000000" w:themeColor="text1"/>
          <w:sz w:val="22"/>
          <w:szCs w:val="22"/>
          <w:lang w:val="en-GB" w:bidi="ar-SA"/>
        </w:rPr>
        <w:t>margin</w:t>
      </w:r>
      <w:r w:rsidRPr="00B979DE">
        <w:rPr>
          <w:rFonts w:ascii="Brandon Grotesque Regular" w:eastAsiaTheme="minorEastAsia" w:hAnsi="Brandon Grotesque Regular" w:cstheme="minorHAnsi"/>
          <w:color w:val="000000" w:themeColor="text1"/>
          <w:sz w:val="22"/>
          <w:szCs w:val="22"/>
          <w:lang w:val="en-GB" w:bidi="ar-SA"/>
        </w:rPr>
        <w:t xml:space="preserve"> –at 1.98% increased 6 basis points on PCP:</w:t>
      </w:r>
    </w:p>
    <w:p w14:paraId="0D29FD9F" w14:textId="5B7BD816" w:rsidR="006E62ED" w:rsidRPr="00B979DE" w:rsidRDefault="006E62ED" w:rsidP="00F408E1">
      <w:pPr>
        <w:pStyle w:val="NoParagraphStyle"/>
        <w:numPr>
          <w:ilvl w:val="0"/>
          <w:numId w:val="32"/>
        </w:numPr>
        <w:spacing w:line="240" w:lineRule="auto"/>
        <w:rPr>
          <w:rFonts w:ascii="Brandon Grotesque Regular" w:hAnsi="Brandon Grotesque Regular" w:cstheme="minorHAnsi"/>
          <w:color w:val="000000" w:themeColor="text1"/>
          <w:sz w:val="22"/>
          <w:szCs w:val="22"/>
        </w:rPr>
      </w:pPr>
      <w:r w:rsidRPr="00B979DE">
        <w:rPr>
          <w:rFonts w:ascii="Brandon Grotesque Regular" w:hAnsi="Brandon Grotesque Regular" w:cstheme="minorHAnsi"/>
          <w:color w:val="000000" w:themeColor="text1"/>
          <w:sz w:val="22"/>
          <w:szCs w:val="22"/>
        </w:rPr>
        <w:t xml:space="preserve">Mortgages NIM at 1.51% was down (9) basis points on PCP.  NIM benefitted from improved funding, stabilisation of BBSW, whilst product mix and pricing strategies, </w:t>
      </w:r>
      <w:r w:rsidRPr="00B979DE">
        <w:rPr>
          <w:rFonts w:ascii="Brandon Grotesque Regular" w:hAnsi="Brandon Grotesque Regular" w:cstheme="minorHAnsi"/>
          <w:color w:val="000000" w:themeColor="text1"/>
          <w:sz w:val="22"/>
          <w:szCs w:val="22"/>
          <w:lang w:val="en-AU"/>
        </w:rPr>
        <w:t>which have supported strong Originations growth, marginally compressed NIM. Our</w:t>
      </w:r>
      <w:r w:rsidRPr="00B979DE">
        <w:rPr>
          <w:rFonts w:ascii="Brandon Grotesque Regular" w:hAnsi="Brandon Grotesque Regular" w:cstheme="minorHAnsi"/>
          <w:color w:val="000000" w:themeColor="text1"/>
          <w:sz w:val="22"/>
          <w:szCs w:val="22"/>
        </w:rPr>
        <w:t xml:space="preserve"> Prime Origination volume grew by 171% on PCP. </w:t>
      </w:r>
    </w:p>
    <w:p w14:paraId="7E420D84" w14:textId="46BF08FC" w:rsidR="006E62ED" w:rsidRDefault="006E62ED" w:rsidP="00F408E1">
      <w:pPr>
        <w:pStyle w:val="NoParagraphStyle"/>
        <w:numPr>
          <w:ilvl w:val="0"/>
          <w:numId w:val="5"/>
        </w:numPr>
        <w:spacing w:line="240" w:lineRule="auto"/>
        <w:rPr>
          <w:rFonts w:ascii="Brandon Grotesque Regular" w:hAnsi="Brandon Grotesque Regular" w:cstheme="minorHAnsi"/>
          <w:color w:val="000000" w:themeColor="text1"/>
          <w:sz w:val="22"/>
          <w:szCs w:val="22"/>
        </w:rPr>
      </w:pPr>
      <w:r w:rsidRPr="00F408E1">
        <w:rPr>
          <w:rFonts w:ascii="Brandon Grotesque Regular" w:hAnsi="Brandon Grotesque Regular" w:cstheme="minorHAnsi"/>
          <w:color w:val="000000" w:themeColor="text1"/>
          <w:sz w:val="22"/>
          <w:szCs w:val="22"/>
        </w:rPr>
        <w:t xml:space="preserve">Asset Finance NIM of 2.73% increased 21 basis points </w:t>
      </w:r>
      <w:r w:rsidRPr="00F408E1">
        <w:rPr>
          <w:rFonts w:ascii="Brandon Grotesque Regular" w:hAnsi="Brandon Grotesque Regular" w:cs="Times New Roman"/>
          <w:color w:val="000000" w:themeColor="text1"/>
          <w:sz w:val="22"/>
          <w:szCs w:val="22"/>
          <w:lang w:val="en-AU"/>
        </w:rPr>
        <w:t xml:space="preserve">on the prior comparable period as the flow </w:t>
      </w:r>
      <w:r w:rsidRPr="00F408E1">
        <w:rPr>
          <w:rFonts w:ascii="Brandon Grotesque Regular" w:hAnsi="Brandon Grotesque Regular" w:cs="Times New Roman"/>
          <w:color w:val="000000" w:themeColor="text1"/>
          <w:sz w:val="22"/>
          <w:szCs w:val="22"/>
          <w:lang w:val="en-AU"/>
        </w:rPr>
        <w:lastRenderedPageBreak/>
        <w:t xml:space="preserve">through of cost of funds gains and relative stable swap rates improved underlying yield.  As noted at the full year,  </w:t>
      </w:r>
      <w:r w:rsidRPr="00F408E1">
        <w:rPr>
          <w:rFonts w:ascii="Brandon Grotesque Regular" w:hAnsi="Brandon Grotesque Regular" w:cstheme="minorHAnsi"/>
          <w:color w:val="000000" w:themeColor="text1"/>
          <w:sz w:val="22"/>
          <w:szCs w:val="22"/>
        </w:rPr>
        <w:t xml:space="preserve">Asset Finance NIM expansion was not at the cost of taking on more risk.  Originations over the first half of 2025 continued to be weighted to low credit risk </w:t>
      </w:r>
      <w:bookmarkStart w:id="3" w:name="_Hlk191307248"/>
      <w:r w:rsidRPr="00F408E1">
        <w:rPr>
          <w:rFonts w:ascii="Brandon Grotesque Regular" w:hAnsi="Brandon Grotesque Regular" w:cstheme="minorHAnsi"/>
          <w:color w:val="000000" w:themeColor="text1"/>
          <w:sz w:val="22"/>
          <w:szCs w:val="22"/>
        </w:rPr>
        <w:t>Tier A customers – who accounted for 75 per cent of</w:t>
      </w:r>
      <w:r w:rsidR="005A1864" w:rsidRPr="00F408E1">
        <w:rPr>
          <w:rFonts w:ascii="Brandon Grotesque Regular" w:hAnsi="Brandon Grotesque Regular" w:cstheme="minorHAnsi"/>
          <w:color w:val="000000" w:themeColor="text1"/>
          <w:sz w:val="22"/>
          <w:szCs w:val="22"/>
        </w:rPr>
        <w:t xml:space="preserve"> the</w:t>
      </w:r>
      <w:r w:rsidRPr="00F408E1">
        <w:rPr>
          <w:rFonts w:ascii="Brandon Grotesque Regular" w:hAnsi="Brandon Grotesque Regular" w:cstheme="minorHAnsi"/>
          <w:color w:val="000000" w:themeColor="text1"/>
          <w:sz w:val="22"/>
          <w:szCs w:val="22"/>
        </w:rPr>
        <w:t xml:space="preserve"> first half Originations, and at the end of the period accounted for 67 per cent of Asset Finance AUM.</w:t>
      </w:r>
    </w:p>
    <w:p w14:paraId="0D7E0F75" w14:textId="77777777" w:rsidR="00F408E1" w:rsidRPr="00F408E1" w:rsidRDefault="00F408E1" w:rsidP="00F408E1">
      <w:pPr>
        <w:pStyle w:val="NoParagraphStyle"/>
        <w:spacing w:line="240" w:lineRule="auto"/>
        <w:ind w:left="720"/>
        <w:rPr>
          <w:rFonts w:ascii="Brandon Grotesque Regular" w:hAnsi="Brandon Grotesque Regular" w:cstheme="minorHAnsi"/>
          <w:color w:val="000000" w:themeColor="text1"/>
          <w:sz w:val="22"/>
          <w:szCs w:val="22"/>
        </w:rPr>
      </w:pPr>
    </w:p>
    <w:p w14:paraId="470D7937" w14:textId="67559C84"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I have spoken frequently about scaled platforms and processes – and how we are positioned to efficiently capture growth as it returns.  Volume has returned and continues to deliver efficiency gains:</w:t>
      </w:r>
    </w:p>
    <w:p w14:paraId="6AEFFAFC"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Productivity – being Originations over Settlement FTE – increased by 20% on </w:t>
      </w:r>
      <w:proofErr w:type="gramStart"/>
      <w:r w:rsidRPr="00B979DE">
        <w:rPr>
          <w:rFonts w:ascii="Brandon Grotesque Regular" w:eastAsiaTheme="minorEastAsia" w:hAnsi="Brandon Grotesque Regular" w:cstheme="minorHAnsi"/>
          <w:color w:val="000000" w:themeColor="text1"/>
          <w:sz w:val="22"/>
          <w:szCs w:val="22"/>
          <w:lang w:val="en-GB" w:bidi="ar-SA"/>
        </w:rPr>
        <w:t>PCP;</w:t>
      </w:r>
      <w:proofErr w:type="gramEnd"/>
    </w:p>
    <w:p w14:paraId="137C84BE" w14:textId="503A71B3"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At the same time, our disciplined cost management resulted in an ongoing reduction </w:t>
      </w:r>
      <w:r w:rsidR="001C56AC" w:rsidRPr="00B979DE">
        <w:rPr>
          <w:rFonts w:ascii="Brandon Grotesque Regular" w:eastAsiaTheme="minorEastAsia" w:hAnsi="Brandon Grotesque Regular" w:cstheme="minorHAnsi"/>
          <w:color w:val="000000" w:themeColor="text1"/>
          <w:sz w:val="22"/>
          <w:szCs w:val="22"/>
          <w:lang w:val="en-GB" w:bidi="ar-SA"/>
        </w:rPr>
        <w:t>in</w:t>
      </w:r>
      <w:r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sz w:val="22"/>
          <w:szCs w:val="22"/>
          <w:lang w:val="en-GB" w:bidi="ar-SA"/>
        </w:rPr>
        <w:t>Total Expenses</w:t>
      </w:r>
      <w:r w:rsidRPr="00B979DE">
        <w:rPr>
          <w:rFonts w:ascii="Brandon Grotesque Regular" w:eastAsiaTheme="minorEastAsia" w:hAnsi="Brandon Grotesque Regular" w:cstheme="minorHAnsi"/>
          <w:color w:val="000000" w:themeColor="text1"/>
          <w:sz w:val="22"/>
          <w:szCs w:val="22"/>
          <w:lang w:val="en-GB" w:bidi="ar-SA"/>
        </w:rPr>
        <w:t xml:space="preserve">, which at $116.7 million reduced 2% on </w:t>
      </w:r>
      <w:proofErr w:type="gramStart"/>
      <w:r w:rsidRPr="00B979DE">
        <w:rPr>
          <w:rFonts w:ascii="Brandon Grotesque Regular" w:eastAsiaTheme="minorEastAsia" w:hAnsi="Brandon Grotesque Regular" w:cstheme="minorHAnsi"/>
          <w:color w:val="000000" w:themeColor="text1"/>
          <w:sz w:val="22"/>
          <w:szCs w:val="22"/>
          <w:lang w:val="en-GB" w:bidi="ar-SA"/>
        </w:rPr>
        <w:t>PCP;</w:t>
      </w:r>
      <w:proofErr w:type="gramEnd"/>
      <w:r w:rsidRPr="00B979DE">
        <w:rPr>
          <w:rFonts w:ascii="Brandon Grotesque Regular" w:eastAsiaTheme="minorEastAsia" w:hAnsi="Brandon Grotesque Regular" w:cstheme="minorHAnsi"/>
          <w:color w:val="000000" w:themeColor="text1"/>
          <w:sz w:val="22"/>
          <w:szCs w:val="22"/>
          <w:lang w:val="en-GB" w:bidi="ar-SA"/>
        </w:rPr>
        <w:t xml:space="preserve"> </w:t>
      </w:r>
    </w:p>
    <w:p w14:paraId="2AFD35C8" w14:textId="5FD25286" w:rsidR="006E62ED" w:rsidRPr="00B979DE" w:rsidRDefault="005A1864"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O</w:t>
      </w:r>
      <w:r w:rsidR="006E62ED" w:rsidRPr="00B979DE">
        <w:rPr>
          <w:rFonts w:ascii="Brandon Grotesque Regular" w:eastAsiaTheme="minorEastAsia" w:hAnsi="Brandon Grotesque Regular" w:cstheme="minorHAnsi"/>
          <w:color w:val="000000" w:themeColor="text1"/>
          <w:sz w:val="22"/>
          <w:szCs w:val="22"/>
          <w:lang w:val="en-GB" w:bidi="ar-SA"/>
        </w:rPr>
        <w:t>ur cost to income ratio of 51.7% improved by 1% on PCP.</w:t>
      </w:r>
    </w:p>
    <w:p w14:paraId="4F04FB71" w14:textId="77777777" w:rsidR="006E62ED" w:rsidRPr="00B979DE" w:rsidRDefault="006E62ED" w:rsidP="00F408E1">
      <w:pPr>
        <w:pStyle w:val="ListParagraph"/>
        <w:spacing w:after="0" w:line="240" w:lineRule="auto"/>
        <w:rPr>
          <w:rFonts w:ascii="Brandon Grotesque Regular" w:eastAsiaTheme="minorEastAsia" w:hAnsi="Brandon Grotesque Regular" w:cstheme="minorHAnsi"/>
          <w:color w:val="000000" w:themeColor="text1"/>
          <w:sz w:val="22"/>
          <w:szCs w:val="22"/>
          <w:lang w:val="en-GB" w:bidi="ar-SA"/>
        </w:rPr>
      </w:pPr>
    </w:p>
    <w:p w14:paraId="0D2F0A53"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bookmarkStart w:id="4" w:name="_Hlk191449196"/>
      <w:bookmarkEnd w:id="3"/>
      <w:r w:rsidRPr="00B979DE">
        <w:rPr>
          <w:rFonts w:ascii="Brandon Grotesque Regular" w:eastAsiaTheme="minorEastAsia" w:hAnsi="Brandon Grotesque Regular" w:cstheme="minorHAnsi"/>
          <w:color w:val="000000" w:themeColor="text1"/>
          <w:sz w:val="22"/>
          <w:szCs w:val="22"/>
          <w:lang w:val="en-GB" w:bidi="ar-SA"/>
        </w:rPr>
        <w:t>Our underlying profit, being Profit Pre-Tax and Loan loss Expense, grew to $109.2 million, up 1% on PCP and 8% on the second half of 2024.    The strength of Originations, scale gains and our ability to manage expenses has supported Net Profit After Tax at $47.0 million for the half, a growth of 2% on PCP.</w:t>
      </w:r>
    </w:p>
    <w:bookmarkEnd w:id="4"/>
    <w:p w14:paraId="60ABD7AF"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B7E43FE" w14:textId="7D121BCC"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The continued demand for our Whole Loan Sales – where we undoubtably lead the market, saw us complete three Mortgage Whole Loan Sales, over the half totalling $1.7 billion.  When this is taken </w:t>
      </w:r>
      <w:proofErr w:type="gramStart"/>
      <w:r w:rsidRPr="00B979DE">
        <w:rPr>
          <w:rFonts w:ascii="Brandon Grotesque Regular" w:eastAsiaTheme="minorEastAsia" w:hAnsi="Brandon Grotesque Regular" w:cstheme="minorHAnsi"/>
          <w:color w:val="000000" w:themeColor="text1"/>
          <w:sz w:val="22"/>
          <w:szCs w:val="22"/>
          <w:lang w:val="en-GB" w:bidi="ar-SA"/>
        </w:rPr>
        <w:t>with  $</w:t>
      </w:r>
      <w:proofErr w:type="gramEnd"/>
      <w:r w:rsidRPr="00B979DE">
        <w:rPr>
          <w:rFonts w:ascii="Brandon Grotesque Regular" w:eastAsiaTheme="minorEastAsia" w:hAnsi="Brandon Grotesque Regular" w:cstheme="minorHAnsi"/>
          <w:color w:val="000000" w:themeColor="text1"/>
          <w:sz w:val="22"/>
          <w:szCs w:val="22"/>
          <w:lang w:val="en-GB" w:bidi="ar-SA"/>
        </w:rPr>
        <w:t xml:space="preserve">1.0 billion raised through </w:t>
      </w:r>
      <w:r w:rsidR="005A1864" w:rsidRPr="00B979DE">
        <w:rPr>
          <w:rFonts w:ascii="Brandon Grotesque Regular" w:eastAsiaTheme="minorEastAsia" w:hAnsi="Brandon Grotesque Regular" w:cstheme="minorHAnsi"/>
          <w:color w:val="000000" w:themeColor="text1"/>
          <w:sz w:val="22"/>
          <w:szCs w:val="22"/>
          <w:lang w:val="en-GB" w:bidi="ar-SA"/>
        </w:rPr>
        <w:t>public</w:t>
      </w:r>
      <w:r w:rsidRPr="00B979DE">
        <w:rPr>
          <w:rFonts w:ascii="Brandon Grotesque Regular" w:eastAsiaTheme="minorEastAsia" w:hAnsi="Brandon Grotesque Regular" w:cstheme="minorHAnsi"/>
          <w:color w:val="000000" w:themeColor="text1"/>
          <w:sz w:val="22"/>
          <w:szCs w:val="22"/>
          <w:lang w:val="en-GB" w:bidi="ar-SA"/>
        </w:rPr>
        <w:t xml:space="preserve"> securitisations - the business is driving a highly efficient and diverse funding structure.  This helps underpin our capital management.</w:t>
      </w:r>
    </w:p>
    <w:p w14:paraId="760344EE"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7678609C" w14:textId="196636F4"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The strength of </w:t>
      </w:r>
      <w:r>
        <w:rPr>
          <w:rFonts w:ascii="Brandon Grotesque Regular" w:eastAsiaTheme="minorEastAsia" w:hAnsi="Brandon Grotesque Regular" w:cstheme="minorHAnsi"/>
          <w:color w:val="000000" w:themeColor="text1"/>
          <w:sz w:val="22"/>
          <w:szCs w:val="22"/>
          <w:lang w:val="en-GB" w:bidi="ar-SA"/>
        </w:rPr>
        <w:t xml:space="preserve">our </w:t>
      </w:r>
      <w:r w:rsidRPr="00246004">
        <w:rPr>
          <w:rFonts w:ascii="Brandon Grotesque Regular" w:eastAsiaTheme="minorEastAsia" w:hAnsi="Brandon Grotesque Regular" w:cstheme="minorHAnsi"/>
          <w:color w:val="000000" w:themeColor="text1"/>
          <w:sz w:val="22"/>
          <w:szCs w:val="22"/>
          <w:lang w:val="en-GB" w:bidi="ar-SA"/>
        </w:rPr>
        <w:t>capital strategy is a real highlight of the first half of the year – and has seen us deliver material uplift in returns to our Shareholders.</w:t>
      </w:r>
    </w:p>
    <w:p w14:paraId="031F2E25"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5E3A0374"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Through our capital strategy, we announced in June 2025 </w:t>
      </w:r>
      <w:r>
        <w:rPr>
          <w:rFonts w:ascii="Brandon Grotesque Regular" w:eastAsiaTheme="minorEastAsia" w:hAnsi="Brandon Grotesque Regular" w:cstheme="minorHAnsi"/>
          <w:color w:val="000000" w:themeColor="text1"/>
          <w:sz w:val="22"/>
          <w:szCs w:val="22"/>
          <w:lang w:val="en-GB" w:bidi="ar-SA"/>
        </w:rPr>
        <w:t xml:space="preserve">a </w:t>
      </w:r>
      <w:r w:rsidRPr="00246004">
        <w:rPr>
          <w:rFonts w:ascii="Brandon Grotesque Regular" w:eastAsiaTheme="minorEastAsia" w:hAnsi="Brandon Grotesque Regular" w:cstheme="minorHAnsi"/>
          <w:color w:val="000000" w:themeColor="text1"/>
          <w:sz w:val="22"/>
          <w:szCs w:val="22"/>
          <w:lang w:val="en-GB" w:bidi="ar-SA"/>
        </w:rPr>
        <w:t>fu</w:t>
      </w:r>
      <w:r>
        <w:rPr>
          <w:rFonts w:ascii="Brandon Grotesque Regular" w:eastAsiaTheme="minorEastAsia" w:hAnsi="Brandon Grotesque Regular" w:cstheme="minorHAnsi"/>
          <w:color w:val="000000" w:themeColor="text1"/>
          <w:sz w:val="22"/>
          <w:szCs w:val="22"/>
          <w:lang w:val="en-GB" w:bidi="ar-SA"/>
        </w:rPr>
        <w:t>ll</w:t>
      </w:r>
      <w:r w:rsidRPr="00246004">
        <w:rPr>
          <w:rFonts w:ascii="Brandon Grotesque Regular" w:eastAsiaTheme="minorEastAsia" w:hAnsi="Brandon Grotesque Regular" w:cstheme="minorHAnsi"/>
          <w:color w:val="000000" w:themeColor="text1"/>
          <w:sz w:val="22"/>
          <w:szCs w:val="22"/>
          <w:lang w:val="en-GB" w:bidi="ar-SA"/>
        </w:rPr>
        <w:t>y franked Special Dividend of 12.5 cents per share – at an annualised yield of 13.9%.</w:t>
      </w:r>
    </w:p>
    <w:p w14:paraId="72A353F4"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7ED8AE2C"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We ended the</w:t>
      </w:r>
      <w:r>
        <w:rPr>
          <w:rFonts w:ascii="Brandon Grotesque Regular" w:eastAsiaTheme="minorEastAsia" w:hAnsi="Brandon Grotesque Regular" w:cstheme="minorHAnsi"/>
          <w:color w:val="000000" w:themeColor="text1"/>
          <w:sz w:val="22"/>
          <w:szCs w:val="22"/>
          <w:lang w:val="en-GB" w:bidi="ar-SA"/>
        </w:rPr>
        <w:t xml:space="preserve"> half</w:t>
      </w:r>
      <w:r w:rsidRPr="00246004">
        <w:rPr>
          <w:rFonts w:ascii="Brandon Grotesque Regular" w:eastAsiaTheme="minorEastAsia" w:hAnsi="Brandon Grotesque Regular" w:cstheme="minorHAnsi"/>
          <w:color w:val="000000" w:themeColor="text1"/>
          <w:sz w:val="22"/>
          <w:szCs w:val="22"/>
          <w:lang w:val="en-GB" w:bidi="ar-SA"/>
        </w:rPr>
        <w:t xml:space="preserve"> year with $142.9 million in Unrestricted cash, with the Special Dividend of $55.5 million paid in July.</w:t>
      </w:r>
    </w:p>
    <w:p w14:paraId="599EDBF9"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E69C164"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Our exceptional performance has seen the Board </w:t>
      </w:r>
      <w:r>
        <w:rPr>
          <w:rFonts w:ascii="Brandon Grotesque Regular" w:eastAsiaTheme="minorEastAsia" w:hAnsi="Brandon Grotesque Regular" w:cstheme="minorHAnsi"/>
          <w:color w:val="000000" w:themeColor="text1"/>
          <w:sz w:val="22"/>
          <w:szCs w:val="22"/>
          <w:lang w:val="en-GB" w:bidi="ar-SA"/>
        </w:rPr>
        <w:t>declare</w:t>
      </w:r>
      <w:r w:rsidRPr="00246004">
        <w:rPr>
          <w:rFonts w:ascii="Brandon Grotesque Regular" w:eastAsiaTheme="minorEastAsia" w:hAnsi="Brandon Grotesque Regular" w:cstheme="minorHAnsi"/>
          <w:color w:val="000000" w:themeColor="text1"/>
          <w:sz w:val="22"/>
          <w:szCs w:val="22"/>
          <w:lang w:val="en-GB" w:bidi="ar-SA"/>
        </w:rPr>
        <w:t xml:space="preserve"> an Interim fully franked dividend of 6.4 cents per share – representing a 60% payout ratio on Net Profit after Tax for the six months to June 2025.</w:t>
      </w:r>
    </w:p>
    <w:p w14:paraId="7A2CDC50"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60CD1BD"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Incorporating the 6.4 cents per share Interim dividend to the 12.5 cents per share Special Dividend, we will return </w:t>
      </w:r>
      <w:proofErr w:type="gramStart"/>
      <w:r>
        <w:rPr>
          <w:rFonts w:ascii="Brandon Grotesque Regular" w:eastAsiaTheme="minorEastAsia" w:hAnsi="Brandon Grotesque Regular" w:cstheme="minorHAnsi"/>
          <w:color w:val="000000" w:themeColor="text1"/>
          <w:sz w:val="22"/>
          <w:szCs w:val="22"/>
          <w:lang w:val="en-GB" w:bidi="ar-SA"/>
        </w:rPr>
        <w:t xml:space="preserve">in </w:t>
      </w:r>
      <w:r w:rsidRPr="00246004">
        <w:rPr>
          <w:rFonts w:ascii="Brandon Grotesque Regular" w:eastAsiaTheme="minorEastAsia" w:hAnsi="Brandon Grotesque Regular" w:cstheme="minorHAnsi"/>
          <w:color w:val="000000" w:themeColor="text1"/>
          <w:sz w:val="22"/>
          <w:szCs w:val="22"/>
          <w:lang w:val="en-GB" w:bidi="ar-SA"/>
        </w:rPr>
        <w:t>excess of</w:t>
      </w:r>
      <w:proofErr w:type="gramEnd"/>
      <w:r w:rsidRPr="00246004">
        <w:rPr>
          <w:rFonts w:ascii="Brandon Grotesque Regular" w:eastAsiaTheme="minorEastAsia" w:hAnsi="Brandon Grotesque Regular" w:cstheme="minorHAnsi"/>
          <w:color w:val="000000" w:themeColor="text1"/>
          <w:sz w:val="22"/>
          <w:szCs w:val="22"/>
          <w:lang w:val="en-GB" w:bidi="ar-SA"/>
        </w:rPr>
        <w:t xml:space="preserve"> $83 million to our shareholders in fully franked dividends in respect to our performance to date in 2025 </w:t>
      </w:r>
    </w:p>
    <w:p w14:paraId="54D7100F" w14:textId="77777777" w:rsidR="006E62ED" w:rsidRPr="00F408E1"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598FE577" w14:textId="77777777" w:rsidR="006E62ED" w:rsidRPr="00F408E1" w:rsidRDefault="006E62ED" w:rsidP="00F408E1">
      <w:pPr>
        <w:autoSpaceDE w:val="0"/>
        <w:autoSpaceDN w:val="0"/>
        <w:adjustRightInd w:val="0"/>
        <w:spacing w:after="0" w:line="240" w:lineRule="auto"/>
        <w:rPr>
          <w:rFonts w:ascii="Brandon Grotesque Regular" w:hAnsi="Brandon Grotesque Regular" w:cstheme="minorHAnsi"/>
          <w:color w:val="000000" w:themeColor="text1"/>
          <w:sz w:val="22"/>
          <w:szCs w:val="22"/>
        </w:rPr>
      </w:pPr>
      <w:r w:rsidRPr="00F408E1">
        <w:rPr>
          <w:rFonts w:ascii="Brandon Grotesque Regular" w:hAnsi="Brandon Grotesque Regular" w:cstheme="minorHAnsi"/>
          <w:color w:val="000000" w:themeColor="text1"/>
          <w:sz w:val="22"/>
          <w:szCs w:val="22"/>
        </w:rPr>
        <w:t xml:space="preserve">Turning now to slide 5. </w:t>
      </w:r>
    </w:p>
    <w:p w14:paraId="7A0E3B4B" w14:textId="77777777" w:rsidR="00F408E1" w:rsidRDefault="006E62ED" w:rsidP="00F408E1">
      <w:pPr>
        <w:rPr>
          <w:rFonts w:ascii="Brandon Grotesque Regular" w:hAnsi="Brandon Grotesque Regular" w:cstheme="minorHAnsi"/>
          <w:color w:val="000000" w:themeColor="text1"/>
          <w:sz w:val="20"/>
          <w:szCs w:val="20"/>
        </w:rPr>
      </w:pPr>
      <w:r>
        <w:rPr>
          <w:rFonts w:ascii="Brandon Grotesque Regular" w:hAnsi="Brandon Grotesque Regular" w:cstheme="minorHAnsi"/>
          <w:color w:val="000000" w:themeColor="text1"/>
          <w:sz w:val="20"/>
          <w:szCs w:val="20"/>
        </w:rPr>
        <w:br w:type="page"/>
      </w:r>
    </w:p>
    <w:p w14:paraId="6F3D418D" w14:textId="27A1823E" w:rsidR="006E62ED" w:rsidRPr="00F408E1" w:rsidRDefault="006E62ED" w:rsidP="00F408E1">
      <w:pPr>
        <w:rPr>
          <w:rFonts w:ascii="Brandon Grotesque Regular" w:eastAsiaTheme="minorEastAsia" w:hAnsi="Brandon Grotesque Regular"/>
          <w:b/>
          <w:bCs/>
          <w:caps/>
          <w:noProof/>
          <w:color w:val="002060"/>
          <w:spacing w:val="80"/>
          <w:sz w:val="20"/>
          <w:szCs w:val="20"/>
          <w:lang w:val="en-GB" w:bidi="ar-SA"/>
        </w:rPr>
      </w:pPr>
      <w:r w:rsidRPr="00F408E1">
        <w:rPr>
          <w:rFonts w:ascii="Brandon Grotesque Regular" w:eastAsiaTheme="minorEastAsia" w:hAnsi="Brandon Grotesque Regular"/>
          <w:b/>
          <w:bCs/>
          <w:caps/>
          <w:color w:val="002060"/>
          <w:spacing w:val="80"/>
          <w:sz w:val="20"/>
          <w:szCs w:val="20"/>
          <w:lang w:val="en-GB" w:bidi="ar-SA"/>
        </w:rPr>
        <w:lastRenderedPageBreak/>
        <w:t>slide number 5</w:t>
      </w:r>
    </w:p>
    <w:p w14:paraId="1C089FB5" w14:textId="3823BCD8" w:rsidR="006E62ED" w:rsidRDefault="006E62ED" w:rsidP="00F408E1">
      <w:pPr>
        <w:spacing w:after="0" w:line="240" w:lineRule="auto"/>
        <w:rPr>
          <w:rFonts w:ascii="Brandon Grotesque Regular" w:hAnsi="Brandon Grotesque Regular" w:cstheme="minorHAnsi"/>
          <w:color w:val="000000" w:themeColor="text1"/>
          <w:sz w:val="20"/>
          <w:szCs w:val="20"/>
        </w:rPr>
      </w:pPr>
    </w:p>
    <w:p w14:paraId="735186E4" w14:textId="3FCDDCD3" w:rsidR="006E62ED" w:rsidRPr="00246004" w:rsidRDefault="006E62ED" w:rsidP="00F408E1">
      <w:pPr>
        <w:spacing w:after="0" w:line="240" w:lineRule="auto"/>
        <w:rPr>
          <w:rFonts w:ascii="Halis R Regular" w:hAnsi="Halis R Regular"/>
          <w:color w:val="000000" w:themeColor="text1"/>
          <w:sz w:val="22"/>
          <w:szCs w:val="22"/>
        </w:rPr>
      </w:pPr>
      <w:r w:rsidRPr="00246004">
        <w:rPr>
          <w:rFonts w:ascii="Brandon Grotesque Regular" w:eastAsiaTheme="minorEastAsia" w:hAnsi="Brandon Grotesque Regular" w:cstheme="minorHAnsi"/>
          <w:color w:val="000000" w:themeColor="text1"/>
          <w:sz w:val="22"/>
          <w:szCs w:val="22"/>
          <w:lang w:val="en-GB" w:bidi="ar-SA"/>
        </w:rPr>
        <w:t>We entered 2025 with clear evidence that the Mortgage market had stabilise</w:t>
      </w:r>
      <w:r>
        <w:rPr>
          <w:rFonts w:ascii="Brandon Grotesque Regular" w:eastAsiaTheme="minorEastAsia" w:hAnsi="Brandon Grotesque Regular" w:cstheme="minorHAnsi"/>
          <w:color w:val="000000" w:themeColor="text1"/>
          <w:sz w:val="22"/>
          <w:szCs w:val="22"/>
          <w:lang w:val="en-GB" w:bidi="ar-SA"/>
        </w:rPr>
        <w:t>d</w:t>
      </w:r>
      <w:r w:rsidRPr="00246004">
        <w:rPr>
          <w:rFonts w:ascii="Brandon Grotesque Regular" w:eastAsiaTheme="minorEastAsia" w:hAnsi="Brandon Grotesque Regular" w:cstheme="minorHAnsi"/>
          <w:color w:val="000000" w:themeColor="text1"/>
          <w:sz w:val="22"/>
          <w:szCs w:val="22"/>
          <w:lang w:val="en-GB" w:bidi="ar-SA"/>
        </w:rPr>
        <w:t xml:space="preserve"> and growth returning.    This has been assisted by the RBA rate cut of 25</w:t>
      </w:r>
      <w:r>
        <w:rPr>
          <w:rFonts w:ascii="Brandon Grotesque Regular" w:eastAsiaTheme="minorEastAsia" w:hAnsi="Brandon Grotesque Regular" w:cstheme="minorHAnsi"/>
          <w:color w:val="000000" w:themeColor="text1"/>
          <w:sz w:val="22"/>
          <w:szCs w:val="22"/>
          <w:lang w:val="en-GB" w:bidi="ar-SA"/>
        </w:rPr>
        <w:t xml:space="preserve"> basis points </w:t>
      </w:r>
      <w:r w:rsidRPr="00246004">
        <w:rPr>
          <w:rFonts w:ascii="Brandon Grotesque Regular" w:eastAsiaTheme="minorEastAsia" w:hAnsi="Brandon Grotesque Regular" w:cstheme="minorHAnsi"/>
          <w:color w:val="000000" w:themeColor="text1"/>
          <w:sz w:val="22"/>
          <w:szCs w:val="22"/>
          <w:lang w:val="en-GB" w:bidi="ar-SA"/>
        </w:rPr>
        <w:t>in February</w:t>
      </w:r>
      <w:r>
        <w:rPr>
          <w:rFonts w:ascii="Brandon Grotesque Regular" w:eastAsiaTheme="minorEastAsia" w:hAnsi="Brandon Grotesque Regular" w:cstheme="minorHAnsi"/>
          <w:color w:val="000000" w:themeColor="text1"/>
          <w:sz w:val="22"/>
          <w:szCs w:val="22"/>
          <w:lang w:val="en-GB" w:bidi="ar-SA"/>
        </w:rPr>
        <w:t xml:space="preserve">, </w:t>
      </w:r>
      <w:r w:rsidRPr="00246004">
        <w:rPr>
          <w:rFonts w:ascii="Brandon Grotesque Regular" w:eastAsiaTheme="minorEastAsia" w:hAnsi="Brandon Grotesque Regular" w:cstheme="minorHAnsi"/>
          <w:color w:val="000000" w:themeColor="text1"/>
          <w:sz w:val="22"/>
          <w:szCs w:val="22"/>
          <w:lang w:val="en-GB" w:bidi="ar-SA"/>
        </w:rPr>
        <w:t xml:space="preserve">May </w:t>
      </w:r>
      <w:r>
        <w:rPr>
          <w:rFonts w:ascii="Brandon Grotesque Regular" w:eastAsiaTheme="minorEastAsia" w:hAnsi="Brandon Grotesque Regular" w:cstheme="minorHAnsi"/>
          <w:color w:val="000000" w:themeColor="text1"/>
          <w:sz w:val="22"/>
          <w:szCs w:val="22"/>
          <w:lang w:val="en-GB" w:bidi="ar-SA"/>
        </w:rPr>
        <w:t>and August.</w:t>
      </w:r>
      <w:r w:rsidRPr="00246004">
        <w:rPr>
          <w:rFonts w:ascii="Brandon Grotesque Regular" w:eastAsiaTheme="minorEastAsia" w:hAnsi="Brandon Grotesque Regular" w:cstheme="minorHAnsi"/>
          <w:color w:val="000000" w:themeColor="text1"/>
          <w:sz w:val="22"/>
          <w:szCs w:val="22"/>
          <w:lang w:val="en-GB" w:bidi="ar-SA"/>
        </w:rPr>
        <w:t xml:space="preserve"> </w:t>
      </w:r>
    </w:p>
    <w:p w14:paraId="19B0CDB8" w14:textId="77777777" w:rsidR="006E62ED" w:rsidRPr="00246004" w:rsidRDefault="006E62ED" w:rsidP="00F408E1">
      <w:pPr>
        <w:spacing w:after="0" w:line="240" w:lineRule="auto"/>
        <w:rPr>
          <w:rFonts w:ascii="Halis R Regular" w:hAnsi="Halis R Regular"/>
          <w:color w:val="000000" w:themeColor="text1"/>
          <w:sz w:val="22"/>
          <w:szCs w:val="22"/>
        </w:rPr>
      </w:pPr>
    </w:p>
    <w:p w14:paraId="2ED0CD1C" w14:textId="77777777" w:rsidR="006E62ED" w:rsidRPr="0024600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Likewise, as interest rates reduce and inflation trims</w:t>
      </w:r>
      <w:r>
        <w:rPr>
          <w:rFonts w:ascii="Brandon Grotesque Regular" w:eastAsiaTheme="minorEastAsia" w:hAnsi="Brandon Grotesque Regular" w:cstheme="minorHAnsi"/>
          <w:color w:val="000000" w:themeColor="text1"/>
          <w:sz w:val="22"/>
          <w:szCs w:val="22"/>
          <w:lang w:val="en-GB" w:bidi="ar-SA"/>
        </w:rPr>
        <w:t>,</w:t>
      </w:r>
      <w:r w:rsidRPr="00246004">
        <w:rPr>
          <w:rFonts w:ascii="Brandon Grotesque Regular" w:eastAsiaTheme="minorEastAsia" w:hAnsi="Brandon Grotesque Regular" w:cstheme="minorHAnsi"/>
          <w:color w:val="000000" w:themeColor="text1"/>
          <w:sz w:val="22"/>
          <w:szCs w:val="22"/>
          <w:lang w:val="en-GB" w:bidi="ar-SA"/>
        </w:rPr>
        <w:t xml:space="preserve"> Asset Finance is also starting to see upward trends in applications and originations</w:t>
      </w:r>
      <w:r>
        <w:rPr>
          <w:rFonts w:ascii="Brandon Grotesque Regular" w:eastAsiaTheme="minorEastAsia" w:hAnsi="Brandon Grotesque Regular" w:cstheme="minorHAnsi"/>
          <w:color w:val="000000" w:themeColor="text1"/>
          <w:sz w:val="22"/>
          <w:szCs w:val="22"/>
          <w:lang w:val="en-GB" w:bidi="ar-SA"/>
        </w:rPr>
        <w:t>.</w:t>
      </w:r>
    </w:p>
    <w:p w14:paraId="1B5966AB" w14:textId="77777777" w:rsidR="006E62ED" w:rsidRPr="00246004" w:rsidRDefault="006E62ED" w:rsidP="00F408E1">
      <w:pPr>
        <w:contextualSpacing/>
        <w:rPr>
          <w:rFonts w:ascii="Halis R Regular" w:hAnsi="Halis R Regular"/>
          <w:color w:val="000000" w:themeColor="text1"/>
          <w:sz w:val="22"/>
          <w:szCs w:val="22"/>
        </w:rPr>
      </w:pPr>
    </w:p>
    <w:p w14:paraId="4FC46A23" w14:textId="78C68838"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Over the first half of th</w:t>
      </w:r>
      <w:r w:rsidR="005A1864">
        <w:rPr>
          <w:rFonts w:ascii="Brandon Grotesque Regular" w:eastAsiaTheme="minorEastAsia" w:hAnsi="Brandon Grotesque Regular" w:cstheme="minorHAnsi"/>
          <w:color w:val="000000" w:themeColor="text1"/>
          <w:sz w:val="22"/>
          <w:szCs w:val="22"/>
          <w:lang w:val="en-GB" w:bidi="ar-SA"/>
        </w:rPr>
        <w:t>e</w:t>
      </w:r>
      <w:r w:rsidRPr="00246004">
        <w:rPr>
          <w:rFonts w:ascii="Brandon Grotesque Regular" w:eastAsiaTheme="minorEastAsia" w:hAnsi="Brandon Grotesque Regular" w:cstheme="minorHAnsi"/>
          <w:color w:val="000000" w:themeColor="text1"/>
          <w:sz w:val="22"/>
          <w:szCs w:val="22"/>
          <w:lang w:val="en-GB" w:bidi="ar-SA"/>
        </w:rPr>
        <w:t xml:space="preserve"> year, total Applications have increased by 30% versus PCP, and 10% over the second half of 2024.  I am more than encouraged by how the initiatives we implemented over the second half</w:t>
      </w:r>
      <w:r>
        <w:rPr>
          <w:rFonts w:ascii="Brandon Grotesque Regular" w:eastAsiaTheme="minorEastAsia" w:hAnsi="Brandon Grotesque Regular" w:cstheme="minorHAnsi"/>
          <w:color w:val="000000" w:themeColor="text1"/>
          <w:sz w:val="22"/>
          <w:szCs w:val="22"/>
          <w:lang w:val="en-GB" w:bidi="ar-SA"/>
        </w:rPr>
        <w:t xml:space="preserve"> of</w:t>
      </w:r>
      <w:r w:rsidRPr="00246004">
        <w:rPr>
          <w:rFonts w:ascii="Brandon Grotesque Regular" w:eastAsiaTheme="minorEastAsia" w:hAnsi="Brandon Grotesque Regular" w:cstheme="minorHAnsi"/>
          <w:color w:val="000000" w:themeColor="text1"/>
          <w:sz w:val="22"/>
          <w:szCs w:val="22"/>
          <w:lang w:val="en-GB" w:bidi="ar-SA"/>
        </w:rPr>
        <w:t xml:space="preserve"> 2024 and into 2025 – including new product development, modifications and improvement to our credit policies – </w:t>
      </w:r>
      <w:r w:rsidR="00267917">
        <w:rPr>
          <w:rFonts w:ascii="Brandon Grotesque Regular" w:eastAsiaTheme="minorEastAsia" w:hAnsi="Brandon Grotesque Regular" w:cstheme="minorHAnsi"/>
          <w:color w:val="000000" w:themeColor="text1"/>
          <w:sz w:val="22"/>
          <w:szCs w:val="22"/>
          <w:lang w:val="en-GB" w:bidi="ar-SA"/>
        </w:rPr>
        <w:t xml:space="preserve">all </w:t>
      </w:r>
      <w:r w:rsidRPr="00246004">
        <w:rPr>
          <w:rFonts w:ascii="Brandon Grotesque Regular" w:eastAsiaTheme="minorEastAsia" w:hAnsi="Brandon Grotesque Regular" w:cstheme="minorHAnsi"/>
          <w:color w:val="000000" w:themeColor="text1"/>
          <w:sz w:val="22"/>
          <w:szCs w:val="22"/>
          <w:lang w:val="en-GB" w:bidi="ar-SA"/>
        </w:rPr>
        <w:t xml:space="preserve">have gathered traction.  Mortgage applications have grown 64% on PCP and 24% on second half 2024 – supporting Originations growth of 53% on PCP and 21% on </w:t>
      </w:r>
      <w:r w:rsidR="00B979DE">
        <w:rPr>
          <w:rFonts w:ascii="Brandon Grotesque Regular" w:eastAsiaTheme="minorEastAsia" w:hAnsi="Brandon Grotesque Regular" w:cstheme="minorHAnsi"/>
          <w:color w:val="000000" w:themeColor="text1"/>
          <w:sz w:val="22"/>
          <w:szCs w:val="22"/>
          <w:lang w:val="en-GB" w:bidi="ar-SA"/>
        </w:rPr>
        <w:t>second half</w:t>
      </w:r>
      <w:r w:rsidRPr="00246004">
        <w:rPr>
          <w:rFonts w:ascii="Brandon Grotesque Regular" w:eastAsiaTheme="minorEastAsia" w:hAnsi="Brandon Grotesque Regular" w:cstheme="minorHAnsi"/>
          <w:color w:val="000000" w:themeColor="text1"/>
          <w:sz w:val="22"/>
          <w:szCs w:val="22"/>
          <w:lang w:val="en-GB" w:bidi="ar-SA"/>
        </w:rPr>
        <w:t xml:space="preserve"> 2024.  As I noted at the time of presenting our full year results, we are seeing a skew towards Prime Mortgages, and in the first half of 2025 Prime accounted for 70% of Originations. </w:t>
      </w:r>
      <w:r>
        <w:rPr>
          <w:rFonts w:ascii="Brandon Grotesque Regular" w:eastAsiaTheme="minorEastAsia" w:hAnsi="Brandon Grotesque Regular" w:cstheme="minorHAnsi"/>
          <w:color w:val="000000" w:themeColor="text1"/>
          <w:sz w:val="22"/>
          <w:szCs w:val="22"/>
          <w:lang w:val="en-GB" w:bidi="ar-SA"/>
        </w:rPr>
        <w:t xml:space="preserve">  Our strategies have seen our Mortgage business grow 3.6 times system compared to second half of 2024.</w:t>
      </w:r>
    </w:p>
    <w:p w14:paraId="3D28AD83" w14:textId="77777777"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p>
    <w:p w14:paraId="5C954A89" w14:textId="49CF3D3D"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Growth in Asset Finance Applications is more subdue</w:t>
      </w:r>
      <w:r>
        <w:rPr>
          <w:rFonts w:ascii="Brandon Grotesque Regular" w:eastAsiaTheme="minorEastAsia" w:hAnsi="Brandon Grotesque Regular" w:cstheme="minorHAnsi"/>
          <w:color w:val="000000" w:themeColor="text1"/>
          <w:sz w:val="22"/>
          <w:szCs w:val="22"/>
          <w:lang w:val="en-GB" w:bidi="ar-SA"/>
        </w:rPr>
        <w:t>d</w:t>
      </w:r>
      <w:r w:rsidRPr="00246004">
        <w:rPr>
          <w:rFonts w:ascii="Brandon Grotesque Regular" w:eastAsiaTheme="minorEastAsia" w:hAnsi="Brandon Grotesque Regular" w:cstheme="minorHAnsi"/>
          <w:color w:val="000000" w:themeColor="text1"/>
          <w:sz w:val="22"/>
          <w:szCs w:val="22"/>
          <w:lang w:val="en-GB" w:bidi="ar-SA"/>
        </w:rPr>
        <w:t xml:space="preserve"> than Mortgages, but we have still achieved Originations growth of 19%,</w:t>
      </w:r>
      <w:r w:rsidR="00B979DE">
        <w:rPr>
          <w:rFonts w:ascii="Brandon Grotesque Regular" w:eastAsiaTheme="minorEastAsia" w:hAnsi="Brandon Grotesque Regular" w:cstheme="minorHAnsi"/>
          <w:color w:val="000000" w:themeColor="text1"/>
          <w:sz w:val="22"/>
          <w:szCs w:val="22"/>
          <w:lang w:val="en-GB" w:bidi="ar-SA"/>
        </w:rPr>
        <w:t xml:space="preserve"> half one</w:t>
      </w:r>
      <w:r w:rsidRPr="00246004">
        <w:rPr>
          <w:rFonts w:ascii="Brandon Grotesque Regular" w:eastAsiaTheme="minorEastAsia" w:hAnsi="Brandon Grotesque Regular" w:cstheme="minorHAnsi"/>
          <w:color w:val="000000" w:themeColor="text1"/>
          <w:sz w:val="22"/>
          <w:szCs w:val="22"/>
          <w:lang w:val="en-GB" w:bidi="ar-SA"/>
        </w:rPr>
        <w:t xml:space="preserve"> 2025 over </w:t>
      </w:r>
      <w:r w:rsidR="00B979DE">
        <w:rPr>
          <w:rFonts w:ascii="Brandon Grotesque Regular" w:eastAsiaTheme="minorEastAsia" w:hAnsi="Brandon Grotesque Regular" w:cstheme="minorHAnsi"/>
          <w:color w:val="000000" w:themeColor="text1"/>
          <w:sz w:val="22"/>
          <w:szCs w:val="22"/>
          <w:lang w:val="en-GB" w:bidi="ar-SA"/>
        </w:rPr>
        <w:t>half one</w:t>
      </w:r>
      <w:r w:rsidRPr="00246004">
        <w:rPr>
          <w:rFonts w:ascii="Brandon Grotesque Regular" w:eastAsiaTheme="minorEastAsia" w:hAnsi="Brandon Grotesque Regular" w:cstheme="minorHAnsi"/>
          <w:color w:val="000000" w:themeColor="text1"/>
          <w:sz w:val="22"/>
          <w:szCs w:val="22"/>
          <w:lang w:val="en-GB" w:bidi="ar-SA"/>
        </w:rPr>
        <w:t xml:space="preserve"> 2024.  And while some of the growth was </w:t>
      </w:r>
      <w:proofErr w:type="gramStart"/>
      <w:r w:rsidRPr="00246004">
        <w:rPr>
          <w:rFonts w:ascii="Brandon Grotesque Regular" w:eastAsiaTheme="minorEastAsia" w:hAnsi="Brandon Grotesque Regular" w:cstheme="minorHAnsi"/>
          <w:color w:val="000000" w:themeColor="text1"/>
          <w:sz w:val="22"/>
          <w:szCs w:val="22"/>
          <w:lang w:val="en-GB" w:bidi="ar-SA"/>
        </w:rPr>
        <w:t>as a result of</w:t>
      </w:r>
      <w:proofErr w:type="gramEnd"/>
      <w:r w:rsidRPr="00246004">
        <w:rPr>
          <w:rFonts w:ascii="Brandon Grotesque Regular" w:eastAsiaTheme="minorEastAsia" w:hAnsi="Brandon Grotesque Regular" w:cstheme="minorHAnsi"/>
          <w:color w:val="000000" w:themeColor="text1"/>
          <w:sz w:val="22"/>
          <w:szCs w:val="22"/>
          <w:lang w:val="en-GB" w:bidi="ar-SA"/>
        </w:rPr>
        <w:t xml:space="preserve"> the removal of</w:t>
      </w:r>
      <w:r w:rsidR="005A1864">
        <w:rPr>
          <w:rFonts w:ascii="Brandon Grotesque Regular" w:eastAsiaTheme="minorEastAsia" w:hAnsi="Brandon Grotesque Regular" w:cstheme="minorHAnsi"/>
          <w:color w:val="000000" w:themeColor="text1"/>
          <w:sz w:val="22"/>
          <w:szCs w:val="22"/>
          <w:lang w:val="en-GB" w:bidi="ar-SA"/>
        </w:rPr>
        <w:t xml:space="preserve"> the</w:t>
      </w:r>
      <w:r w:rsidRPr="00246004">
        <w:rPr>
          <w:rFonts w:ascii="Brandon Grotesque Regular" w:eastAsiaTheme="minorEastAsia" w:hAnsi="Brandon Grotesque Regular" w:cstheme="minorHAnsi"/>
          <w:color w:val="000000" w:themeColor="text1"/>
          <w:sz w:val="22"/>
          <w:szCs w:val="22"/>
          <w:lang w:val="en-GB" w:bidi="ar-SA"/>
        </w:rPr>
        <w:t xml:space="preserve"> FBT exemption on hybrids, which ceased 1 April 2025, the business is tracking ahead of expectations.   </w:t>
      </w:r>
      <w:r w:rsidRPr="00C53DB0">
        <w:rPr>
          <w:rFonts w:ascii="Brandon Grotesque Regular" w:eastAsiaTheme="minorEastAsia" w:hAnsi="Brandon Grotesque Regular" w:cstheme="minorHAnsi"/>
          <w:color w:val="000000" w:themeColor="text1"/>
          <w:sz w:val="22"/>
          <w:szCs w:val="22"/>
          <w:lang w:val="en-GB" w:bidi="ar-SA"/>
        </w:rPr>
        <w:t>Our Asset Finance business has achieved more than 21 times system growth over the first half of 2025 compared to second half of 2024.</w:t>
      </w:r>
      <w:r>
        <w:rPr>
          <w:rFonts w:ascii="Brandon Grotesque Regular" w:eastAsiaTheme="minorEastAsia" w:hAnsi="Brandon Grotesque Regular" w:cstheme="minorHAnsi"/>
          <w:color w:val="000000" w:themeColor="text1"/>
          <w:sz w:val="22"/>
          <w:szCs w:val="22"/>
          <w:lang w:val="en-GB" w:bidi="ar-SA"/>
        </w:rPr>
        <w:t xml:space="preserve"> </w:t>
      </w:r>
    </w:p>
    <w:p w14:paraId="665962B4" w14:textId="77777777"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p>
    <w:p w14:paraId="0E2C73AD" w14:textId="01BC0BC6"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 xml:space="preserve">Our start to </w:t>
      </w:r>
      <w:r>
        <w:rPr>
          <w:rFonts w:ascii="Brandon Grotesque Regular" w:eastAsiaTheme="minorEastAsia" w:hAnsi="Brandon Grotesque Regular" w:cstheme="minorHAnsi"/>
          <w:color w:val="000000" w:themeColor="text1"/>
          <w:sz w:val="22"/>
          <w:szCs w:val="22"/>
          <w:lang w:val="en-GB" w:bidi="ar-SA"/>
        </w:rPr>
        <w:t>the year</w:t>
      </w:r>
      <w:r w:rsidRPr="00246004">
        <w:rPr>
          <w:rFonts w:ascii="Brandon Grotesque Regular" w:eastAsiaTheme="minorEastAsia" w:hAnsi="Brandon Grotesque Regular" w:cstheme="minorHAnsi"/>
          <w:color w:val="000000" w:themeColor="text1"/>
          <w:sz w:val="22"/>
          <w:szCs w:val="22"/>
          <w:lang w:val="en-GB" w:bidi="ar-SA"/>
        </w:rPr>
        <w:t xml:space="preserve"> has been very strong. We continue to pursue the X factor which I spoke about at the full year. We have continued t</w:t>
      </w:r>
      <w:r w:rsidR="001C56AC">
        <w:rPr>
          <w:rFonts w:ascii="Brandon Grotesque Regular" w:eastAsiaTheme="minorEastAsia" w:hAnsi="Brandon Grotesque Regular" w:cstheme="minorHAnsi"/>
          <w:color w:val="000000" w:themeColor="text1"/>
          <w:sz w:val="22"/>
          <w:szCs w:val="22"/>
          <w:lang w:val="en-GB" w:bidi="ar-SA"/>
        </w:rPr>
        <w:t>o</w:t>
      </w:r>
      <w:r w:rsidRPr="00246004">
        <w:rPr>
          <w:rFonts w:ascii="Brandon Grotesque Regular" w:eastAsiaTheme="minorEastAsia" w:hAnsi="Brandon Grotesque Regular" w:cstheme="minorHAnsi"/>
          <w:color w:val="000000" w:themeColor="text1"/>
          <w:sz w:val="22"/>
          <w:szCs w:val="22"/>
          <w:lang w:val="en-GB" w:bidi="ar-SA"/>
        </w:rPr>
        <w:t xml:space="preserve"> rollout our efficiency </w:t>
      </w:r>
      <w:r>
        <w:rPr>
          <w:rFonts w:ascii="Brandon Grotesque Regular" w:eastAsiaTheme="minorEastAsia" w:hAnsi="Brandon Grotesque Regular" w:cstheme="minorHAnsi"/>
          <w:color w:val="000000" w:themeColor="text1"/>
          <w:sz w:val="22"/>
          <w:szCs w:val="22"/>
          <w:lang w:val="en-GB" w:bidi="ar-SA"/>
        </w:rPr>
        <w:t xml:space="preserve">enhancements </w:t>
      </w:r>
      <w:r w:rsidRPr="00246004">
        <w:rPr>
          <w:rFonts w:ascii="Brandon Grotesque Regular" w:eastAsiaTheme="minorEastAsia" w:hAnsi="Brandon Grotesque Regular" w:cstheme="minorHAnsi"/>
          <w:color w:val="000000" w:themeColor="text1"/>
          <w:sz w:val="22"/>
          <w:szCs w:val="22"/>
          <w:lang w:val="en-GB" w:bidi="ar-SA"/>
        </w:rPr>
        <w:t xml:space="preserve">in areas such as our call centre leveraging off our ongoing investment in AI. We continue to drive down our cost to originate and cost to serve, whilst ensuring we consistently enhance our speed to yes and user experience for our distribution partners and customers. </w:t>
      </w:r>
    </w:p>
    <w:p w14:paraId="5A5E76FB" w14:textId="77777777" w:rsidR="006E62ED" w:rsidRPr="00246004"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p>
    <w:p w14:paraId="39A56731" w14:textId="09E93F88" w:rsidR="006E62ED"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r w:rsidRPr="00246004">
        <w:rPr>
          <w:rFonts w:ascii="Brandon Grotesque Regular" w:eastAsiaTheme="minorEastAsia" w:hAnsi="Brandon Grotesque Regular" w:cstheme="minorHAnsi"/>
          <w:color w:val="000000" w:themeColor="text1"/>
          <w:sz w:val="22"/>
          <w:szCs w:val="22"/>
          <w:lang w:val="en-GB" w:bidi="ar-SA"/>
        </w:rPr>
        <w:t>So</w:t>
      </w:r>
      <w:r>
        <w:rPr>
          <w:rFonts w:ascii="Brandon Grotesque Regular" w:eastAsiaTheme="minorEastAsia" w:hAnsi="Brandon Grotesque Regular" w:cstheme="minorHAnsi"/>
          <w:color w:val="000000" w:themeColor="text1"/>
          <w:sz w:val="22"/>
          <w:szCs w:val="22"/>
          <w:lang w:val="en-GB" w:bidi="ar-SA"/>
        </w:rPr>
        <w:t>,</w:t>
      </w:r>
      <w:r w:rsidRPr="00246004">
        <w:rPr>
          <w:rFonts w:ascii="Brandon Grotesque Regular" w:eastAsiaTheme="minorEastAsia" w:hAnsi="Brandon Grotesque Regular" w:cstheme="minorHAnsi"/>
          <w:color w:val="000000" w:themeColor="text1"/>
          <w:sz w:val="22"/>
          <w:szCs w:val="22"/>
          <w:lang w:val="en-GB" w:bidi="ar-SA"/>
        </w:rPr>
        <w:t xml:space="preserve"> we are off to a positive start for 2025 – and markets permitting – we remain confident </w:t>
      </w:r>
      <w:r>
        <w:rPr>
          <w:rFonts w:ascii="Brandon Grotesque Regular" w:eastAsiaTheme="minorEastAsia" w:hAnsi="Brandon Grotesque Regular" w:cstheme="minorHAnsi"/>
          <w:color w:val="000000" w:themeColor="text1"/>
          <w:sz w:val="22"/>
          <w:szCs w:val="22"/>
          <w:lang w:val="en-GB" w:bidi="ar-SA"/>
        </w:rPr>
        <w:t>for a strong finish to the year.</w:t>
      </w:r>
      <w:r w:rsidRPr="00246004">
        <w:rPr>
          <w:rFonts w:ascii="Brandon Grotesque Regular" w:eastAsiaTheme="minorEastAsia" w:hAnsi="Brandon Grotesque Regular" w:cstheme="minorHAnsi"/>
          <w:color w:val="000000" w:themeColor="text1"/>
          <w:sz w:val="22"/>
          <w:szCs w:val="22"/>
          <w:lang w:val="en-GB" w:bidi="ar-SA"/>
        </w:rPr>
        <w:t xml:space="preserve"> </w:t>
      </w:r>
    </w:p>
    <w:p w14:paraId="2D38D444" w14:textId="77777777" w:rsidR="00B979DE" w:rsidRPr="00246004" w:rsidRDefault="00B979DE" w:rsidP="00F408E1">
      <w:pPr>
        <w:contextualSpacing/>
        <w:rPr>
          <w:rFonts w:ascii="Brandon Grotesque Regular" w:eastAsiaTheme="minorEastAsia" w:hAnsi="Brandon Grotesque Regular" w:cstheme="minorHAnsi"/>
          <w:color w:val="000000" w:themeColor="text1"/>
          <w:sz w:val="22"/>
          <w:szCs w:val="22"/>
          <w:lang w:val="en-GB" w:bidi="ar-SA"/>
        </w:rPr>
      </w:pPr>
    </w:p>
    <w:p w14:paraId="197492C0" w14:textId="2C57CFDB" w:rsidR="006E62ED" w:rsidRPr="00F408E1" w:rsidRDefault="006E62ED" w:rsidP="00F408E1">
      <w:pPr>
        <w:contextualSpacing/>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I will now turn to run through business segment performance</w:t>
      </w:r>
      <w:r w:rsidR="00267917" w:rsidRPr="00F408E1">
        <w:rPr>
          <w:rFonts w:ascii="Brandon Grotesque Regular" w:eastAsiaTheme="minorEastAsia" w:hAnsi="Brandon Grotesque Regular" w:cstheme="minorHAnsi"/>
          <w:color w:val="000000" w:themeColor="text1"/>
          <w:sz w:val="22"/>
          <w:szCs w:val="22"/>
          <w:lang w:val="en-GB" w:bidi="ar-SA"/>
        </w:rPr>
        <w:t xml:space="preserve"> on slide 6. </w:t>
      </w:r>
    </w:p>
    <w:p w14:paraId="079B60EB" w14:textId="77777777" w:rsidR="005A1864" w:rsidRDefault="005A1864" w:rsidP="00F408E1">
      <w:pPr>
        <w:contextualSpacing/>
        <w:rPr>
          <w:rFonts w:ascii="Brandon Grotesque Regular" w:eastAsiaTheme="minorEastAsia" w:hAnsi="Brandon Grotesque Regular" w:cstheme="minorHAnsi"/>
          <w:color w:val="000000" w:themeColor="text1"/>
          <w:sz w:val="22"/>
          <w:szCs w:val="22"/>
          <w:lang w:val="en-GB" w:bidi="ar-SA"/>
        </w:rPr>
      </w:pPr>
    </w:p>
    <w:p w14:paraId="20160413" w14:textId="77777777" w:rsidR="006E62ED" w:rsidRPr="00F408E1" w:rsidRDefault="006E62ED" w:rsidP="00F408E1">
      <w:pPr>
        <w:spacing w:after="0" w:line="240" w:lineRule="auto"/>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6</w:t>
      </w:r>
    </w:p>
    <w:p w14:paraId="5816E92E" w14:textId="77777777" w:rsidR="006E62ED" w:rsidRDefault="006E62ED" w:rsidP="00F408E1">
      <w:pPr>
        <w:spacing w:after="0" w:line="240" w:lineRule="auto"/>
        <w:rPr>
          <w:rFonts w:ascii="Brandon Grotesque Regular" w:hAnsi="Brandon Grotesque Regular" w:cstheme="minorHAnsi"/>
          <w:noProof/>
          <w:sz w:val="20"/>
          <w:szCs w:val="20"/>
        </w:rPr>
      </w:pPr>
      <w:bookmarkStart w:id="5" w:name="_Hlk175225998"/>
    </w:p>
    <w:p w14:paraId="63B403A5" w14:textId="77777777" w:rsidR="006E62ED" w:rsidRPr="00B979DE" w:rsidRDefault="006E62ED" w:rsidP="00F408E1">
      <w:pPr>
        <w:spacing w:after="0" w:line="240" w:lineRule="auto"/>
        <w:rPr>
          <w:rFonts w:ascii="Brandon Grotesque Regular" w:hAnsi="Brandon Grotesque Regular" w:cstheme="minorHAnsi"/>
          <w:noProof/>
          <w:sz w:val="22"/>
          <w:szCs w:val="22"/>
        </w:rPr>
      </w:pPr>
      <w:r w:rsidRPr="0050127B">
        <w:rPr>
          <w:rFonts w:ascii="Brandon Grotesque Regular" w:hAnsi="Brandon Grotesque Regular" w:cstheme="minorHAnsi"/>
          <w:noProof/>
          <w:sz w:val="22"/>
          <w:szCs w:val="22"/>
        </w:rPr>
        <w:t xml:space="preserve">Our </w:t>
      </w:r>
      <w:r w:rsidRPr="00B979DE">
        <w:rPr>
          <w:rFonts w:ascii="Brandon Grotesque Regular" w:hAnsi="Brandon Grotesque Regular" w:cstheme="minorHAnsi"/>
          <w:noProof/>
          <w:sz w:val="22"/>
          <w:szCs w:val="22"/>
        </w:rPr>
        <w:t xml:space="preserve">Mortgage business is seeing the return to growth. </w:t>
      </w:r>
      <w:bookmarkEnd w:id="5"/>
      <w:r w:rsidRPr="00B979DE">
        <w:rPr>
          <w:rFonts w:ascii="Brandon Grotesque Regular" w:hAnsi="Brandon Grotesque Regular" w:cstheme="minorHAnsi"/>
          <w:noProof/>
          <w:sz w:val="22"/>
          <w:szCs w:val="22"/>
        </w:rPr>
        <w:t xml:space="preserve"> Volumes have benefited from a range of strategies – from  new products launched in Australia, to pricing initiatives and expansion in credit policies.</w:t>
      </w:r>
    </w:p>
    <w:p w14:paraId="0BFCC263" w14:textId="77777777" w:rsidR="006E62ED" w:rsidRPr="00B979DE" w:rsidRDefault="006E62ED" w:rsidP="00F408E1">
      <w:pPr>
        <w:spacing w:after="0" w:line="240" w:lineRule="auto"/>
        <w:rPr>
          <w:rFonts w:ascii="Brandon Grotesque Regular" w:hAnsi="Brandon Grotesque Regular" w:cstheme="minorHAnsi"/>
          <w:noProof/>
          <w:sz w:val="22"/>
          <w:szCs w:val="22"/>
        </w:rPr>
      </w:pPr>
    </w:p>
    <w:p w14:paraId="7ABA0396" w14:textId="769B26E0"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t xml:space="preserve">Originations for </w:t>
      </w:r>
      <w:r w:rsidR="005A1864" w:rsidRPr="00B979DE">
        <w:rPr>
          <w:rFonts w:ascii="Brandon Grotesque Regular" w:hAnsi="Brandon Grotesque Regular"/>
          <w:color w:val="000000" w:themeColor="text1"/>
          <w:sz w:val="22"/>
          <w:szCs w:val="22"/>
        </w:rPr>
        <w:t xml:space="preserve">the </w:t>
      </w:r>
      <w:r w:rsidR="00B979DE" w:rsidRPr="00B979DE">
        <w:rPr>
          <w:rFonts w:ascii="Brandon Grotesque Regular" w:hAnsi="Brandon Grotesque Regular"/>
          <w:color w:val="000000" w:themeColor="text1"/>
          <w:sz w:val="22"/>
          <w:szCs w:val="22"/>
        </w:rPr>
        <w:t>first half of</w:t>
      </w:r>
      <w:r w:rsidRPr="00B979DE">
        <w:rPr>
          <w:rFonts w:ascii="Brandon Grotesque Regular" w:hAnsi="Brandon Grotesque Regular"/>
          <w:color w:val="000000" w:themeColor="text1"/>
          <w:sz w:val="22"/>
          <w:szCs w:val="22"/>
        </w:rPr>
        <w:t xml:space="preserve"> 2025 grew by 53% on PCP to $2.8 billion.  Growth was driven by Prime – both Residential and Commercial - with Originations of $1.9 billion increasing 171% on PCP.  Originations mix for </w:t>
      </w:r>
      <w:r w:rsidR="00B979DE" w:rsidRPr="00B979DE">
        <w:rPr>
          <w:rFonts w:ascii="Brandon Grotesque Regular" w:hAnsi="Brandon Grotesque Regular"/>
          <w:color w:val="000000" w:themeColor="text1"/>
          <w:sz w:val="22"/>
          <w:szCs w:val="22"/>
        </w:rPr>
        <w:t>the first half of</w:t>
      </w:r>
      <w:r w:rsidRPr="00B979DE">
        <w:rPr>
          <w:rFonts w:ascii="Brandon Grotesque Regular" w:hAnsi="Brandon Grotesque Regular"/>
          <w:color w:val="000000" w:themeColor="text1"/>
          <w:sz w:val="22"/>
          <w:szCs w:val="22"/>
        </w:rPr>
        <w:t xml:space="preserve"> 2025 was 70% Prime, 30% Non-conforming, versus PCP of 40% and 60% respectively.</w:t>
      </w:r>
    </w:p>
    <w:p w14:paraId="4D289777"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p>
    <w:p w14:paraId="29478161" w14:textId="7CBEAADA"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t>Our Self-Managed Super Fund mortgage solution – launched, Q4 2023, grew to contribute 6% of Mortgage Originations in the first half of 2025.  Our Sharia lending solution, which was</w:t>
      </w:r>
      <w:r w:rsidR="005A1864" w:rsidRPr="00B979DE">
        <w:rPr>
          <w:rFonts w:ascii="Brandon Grotesque Regular" w:hAnsi="Brandon Grotesque Regular"/>
          <w:color w:val="000000" w:themeColor="text1"/>
          <w:sz w:val="22"/>
          <w:szCs w:val="22"/>
        </w:rPr>
        <w:t xml:space="preserve"> </w:t>
      </w:r>
      <w:r w:rsidRPr="00B979DE">
        <w:rPr>
          <w:rFonts w:ascii="Brandon Grotesque Regular" w:hAnsi="Brandon Grotesque Regular"/>
          <w:color w:val="000000" w:themeColor="text1"/>
          <w:sz w:val="22"/>
          <w:szCs w:val="22"/>
        </w:rPr>
        <w:t>launched in June 2024, is tapping an unmet need, and accounted for 2% of Mortgage Originations for the first half of  2025.</w:t>
      </w:r>
    </w:p>
    <w:p w14:paraId="757543B0"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lastRenderedPageBreak/>
        <w:t>Alongside new product development, we continue to review, modify and improve our credit policies -  as this is a proven way to drive accretive growth.</w:t>
      </w:r>
    </w:p>
    <w:p w14:paraId="2EB2A66F" w14:textId="77777777" w:rsidR="006E62ED" w:rsidRPr="00B979DE" w:rsidRDefault="006E62ED" w:rsidP="00F408E1">
      <w:pPr>
        <w:spacing w:after="0" w:line="240" w:lineRule="auto"/>
        <w:contextualSpacing/>
        <w:rPr>
          <w:rFonts w:ascii="Brandon Grotesque Regular" w:hAnsi="Brandon Grotesque Regular" w:cstheme="minorHAnsi"/>
          <w:noProof/>
          <w:sz w:val="22"/>
          <w:szCs w:val="22"/>
        </w:rPr>
      </w:pPr>
    </w:p>
    <w:p w14:paraId="16A7AE98" w14:textId="77777777" w:rsidR="006E62ED" w:rsidRPr="00B979DE" w:rsidRDefault="006E62ED" w:rsidP="00F408E1">
      <w:pPr>
        <w:tabs>
          <w:tab w:val="left" w:pos="360"/>
        </w:tabs>
        <w:spacing w:after="0" w:line="240" w:lineRule="auto"/>
        <w:rPr>
          <w:rFonts w:ascii="Brandon Grotesque Regular" w:hAnsi="Brandon Grotesque Regular" w:cstheme="minorHAnsi"/>
          <w:noProof/>
          <w:sz w:val="22"/>
          <w:szCs w:val="22"/>
        </w:rPr>
      </w:pPr>
      <w:r w:rsidRPr="00B979DE">
        <w:rPr>
          <w:rFonts w:ascii="Brandon Grotesque Regular" w:hAnsi="Brandon Grotesque Regular" w:cstheme="minorHAnsi"/>
          <w:noProof/>
          <w:sz w:val="22"/>
          <w:szCs w:val="22"/>
        </w:rPr>
        <w:t xml:space="preserve">Over the first half of 2025 we executed three Mortgage Whole Loan Sales – two Prime and one Non Conforming, totalling $1.7 billion.  </w:t>
      </w:r>
      <w:r w:rsidRPr="00B979DE">
        <w:rPr>
          <w:rFonts w:ascii="Brandon Grotesque Regular" w:eastAsiaTheme="minorEastAsia" w:hAnsi="Brandon Grotesque Regular" w:cstheme="minorHAnsi"/>
          <w:color w:val="000000" w:themeColor="text1"/>
          <w:sz w:val="22"/>
          <w:szCs w:val="22"/>
          <w:lang w:val="en-GB" w:bidi="ar-SA"/>
        </w:rPr>
        <w:t>Whole Loan Sales see the equitable notes in loans sold to a third party, with Pepper Money retaining the servicing of the loans. AUM therefore transfers from Lending to Servicing.  As Pepper Money continues to service these loans, we benefit from the generation of a capital light annuity-style income.</w:t>
      </w:r>
    </w:p>
    <w:p w14:paraId="39E1AE86" w14:textId="77777777" w:rsidR="006E62ED" w:rsidRPr="00B979DE" w:rsidRDefault="006E62ED" w:rsidP="00F408E1">
      <w:pPr>
        <w:pStyle w:val="ListParagraph"/>
        <w:spacing w:after="0" w:line="240" w:lineRule="auto"/>
        <w:rPr>
          <w:rFonts w:ascii="Brandon Grotesque Regular" w:hAnsi="Brandon Grotesque Regular" w:cstheme="minorHAnsi"/>
          <w:noProof/>
          <w:sz w:val="22"/>
          <w:szCs w:val="22"/>
        </w:rPr>
      </w:pPr>
    </w:p>
    <w:p w14:paraId="21F11217" w14:textId="77777777" w:rsidR="006E62ED" w:rsidRPr="00B979DE" w:rsidRDefault="006E62ED" w:rsidP="00F408E1">
      <w:pPr>
        <w:tabs>
          <w:tab w:val="left" w:pos="360"/>
        </w:tabs>
        <w:spacing w:after="0" w:line="240" w:lineRule="auto"/>
        <w:rPr>
          <w:rFonts w:ascii="Brandon Grotesque Regular" w:hAnsi="Brandon Grotesque Regular" w:cstheme="minorHAnsi"/>
          <w:noProof/>
          <w:sz w:val="22"/>
          <w:szCs w:val="22"/>
        </w:rPr>
      </w:pPr>
      <w:r w:rsidRPr="00B979DE">
        <w:rPr>
          <w:rFonts w:ascii="Brandon Grotesque Regular" w:hAnsi="Brandon Grotesque Regular" w:cstheme="minorHAnsi"/>
          <w:noProof/>
          <w:sz w:val="22"/>
          <w:szCs w:val="22"/>
        </w:rPr>
        <w:t xml:space="preserve">Mortgage Lending AUM dropped by 16 per cent on PCP to $9.5 billion.   Other than the $1.7 billion transferred under Whole Loan Sales, as expected, we also experienced high attrition in New Zealand – mainly from the HSBC portfolio acquired end of 2023.  </w:t>
      </w:r>
    </w:p>
    <w:p w14:paraId="384FB3CE" w14:textId="77777777" w:rsidR="006E62ED" w:rsidRPr="00B979DE" w:rsidRDefault="006E62ED" w:rsidP="00F408E1">
      <w:pPr>
        <w:tabs>
          <w:tab w:val="left" w:pos="360"/>
        </w:tabs>
        <w:spacing w:after="0" w:line="240" w:lineRule="auto"/>
        <w:rPr>
          <w:rFonts w:ascii="Brandon Grotesque Regular" w:hAnsi="Brandon Grotesque Regular" w:cstheme="minorHAnsi"/>
          <w:noProof/>
          <w:sz w:val="22"/>
          <w:szCs w:val="22"/>
        </w:rPr>
      </w:pPr>
    </w:p>
    <w:p w14:paraId="64B1A932" w14:textId="77777777" w:rsidR="006E62ED" w:rsidRPr="00B979DE" w:rsidRDefault="006E62ED" w:rsidP="00F408E1">
      <w:pPr>
        <w:tabs>
          <w:tab w:val="left" w:pos="360"/>
        </w:tabs>
        <w:spacing w:after="0" w:line="240" w:lineRule="auto"/>
        <w:rPr>
          <w:rFonts w:ascii="Brandon Grotesque Regular" w:hAnsi="Brandon Grotesque Regular" w:cstheme="minorHAnsi"/>
          <w:noProof/>
          <w:sz w:val="22"/>
          <w:szCs w:val="22"/>
        </w:rPr>
      </w:pPr>
      <w:bookmarkStart w:id="6" w:name="_Hlk143512667"/>
      <w:r w:rsidRPr="00B979DE">
        <w:rPr>
          <w:rFonts w:ascii="Brandon Grotesque Regular" w:hAnsi="Brandon Grotesque Regular" w:cstheme="minorHAnsi"/>
          <w:noProof/>
          <w:sz w:val="22"/>
          <w:szCs w:val="22"/>
        </w:rPr>
        <w:t xml:space="preserve">Mortgage NIM stabilised over 2024.   As we entered 2025, and given ongoing improved funding markets, reduced inflation and stable employment – all key macro variables in determining credit –we were able to use pricing strategies to support accelerated Origination growth, which has seen NIM compress (9) basis points on the first half of 2024 </w:t>
      </w:r>
    </w:p>
    <w:p w14:paraId="0EB4C852" w14:textId="77777777" w:rsidR="006E62ED" w:rsidRPr="00B979DE" w:rsidRDefault="006E62ED" w:rsidP="00F408E1">
      <w:pPr>
        <w:pStyle w:val="ListParagraph"/>
        <w:spacing w:after="0" w:line="240" w:lineRule="auto"/>
        <w:ind w:left="284"/>
        <w:rPr>
          <w:rFonts w:ascii="Brandon Grotesque Regular" w:hAnsi="Brandon Grotesque Regular" w:cstheme="minorHAnsi"/>
          <w:noProof/>
          <w:sz w:val="22"/>
          <w:szCs w:val="22"/>
        </w:rPr>
      </w:pPr>
    </w:p>
    <w:p w14:paraId="4875AD82" w14:textId="77777777" w:rsidR="006E62ED" w:rsidRPr="00B979DE" w:rsidRDefault="006E62ED" w:rsidP="00F408E1">
      <w:pPr>
        <w:spacing w:after="0" w:line="240" w:lineRule="auto"/>
        <w:rPr>
          <w:rFonts w:ascii="Brandon Grotesque Regular" w:hAnsi="Brandon Grotesque Regular" w:cstheme="minorHAnsi"/>
          <w:noProof/>
          <w:sz w:val="22"/>
          <w:szCs w:val="22"/>
        </w:rPr>
      </w:pPr>
      <w:r w:rsidRPr="00B979DE">
        <w:rPr>
          <w:rFonts w:ascii="Brandon Grotesque Regular" w:hAnsi="Brandon Grotesque Regular" w:cstheme="minorHAnsi"/>
          <w:noProof/>
          <w:sz w:val="22"/>
          <w:szCs w:val="22"/>
        </w:rPr>
        <w:t>The Mortgage NIM walk and credit performance will be covered by Therese in  the Financials.    I will note however our Mortgage customers have been highly resilient – and as such our credit performance remains well within historic averages.</w:t>
      </w:r>
    </w:p>
    <w:p w14:paraId="658E2526" w14:textId="77777777" w:rsidR="006E62ED" w:rsidRPr="00B979DE" w:rsidRDefault="006E62ED" w:rsidP="00F408E1">
      <w:pPr>
        <w:spacing w:after="0" w:line="240" w:lineRule="auto"/>
        <w:rPr>
          <w:rFonts w:ascii="Brandon Grotesque Regular" w:hAnsi="Brandon Grotesque Regular" w:cstheme="minorHAnsi"/>
          <w:noProof/>
          <w:sz w:val="22"/>
          <w:szCs w:val="22"/>
        </w:rPr>
      </w:pPr>
    </w:p>
    <w:p w14:paraId="7FF8C9E0" w14:textId="18BA553B" w:rsidR="00F408E1" w:rsidRPr="00F408E1" w:rsidRDefault="006E62ED" w:rsidP="00F408E1">
      <w:pPr>
        <w:spacing w:after="0" w:line="240" w:lineRule="auto"/>
        <w:rPr>
          <w:rFonts w:ascii="Brandon Grotesque Regular" w:hAnsi="Brandon Grotesque Regular" w:cstheme="minorHAnsi"/>
          <w:noProof/>
          <w:sz w:val="22"/>
          <w:szCs w:val="22"/>
        </w:rPr>
      </w:pPr>
      <w:r w:rsidRPr="00F408E1">
        <w:rPr>
          <w:rFonts w:ascii="Brandon Grotesque Regular" w:hAnsi="Brandon Grotesque Regular" w:cstheme="minorHAnsi"/>
          <w:noProof/>
          <w:sz w:val="22"/>
          <w:szCs w:val="22"/>
        </w:rPr>
        <w:t>Turning to Asset Finance on slide 7.</w:t>
      </w:r>
    </w:p>
    <w:p w14:paraId="0E526FDE" w14:textId="77777777" w:rsidR="00F408E1" w:rsidRPr="00B979DE" w:rsidRDefault="00F408E1" w:rsidP="00F408E1">
      <w:pPr>
        <w:spacing w:after="0" w:line="240" w:lineRule="auto"/>
        <w:rPr>
          <w:rFonts w:ascii="Brandon Grotesque Regular" w:hAnsi="Brandon Grotesque Regular" w:cstheme="minorHAnsi"/>
          <w:b/>
          <w:bCs/>
          <w:noProof/>
          <w:sz w:val="22"/>
          <w:szCs w:val="22"/>
        </w:rPr>
      </w:pPr>
    </w:p>
    <w:p w14:paraId="217B21CE" w14:textId="77777777" w:rsidR="006E62ED" w:rsidRPr="00B979DE" w:rsidRDefault="006E62ED" w:rsidP="00F408E1">
      <w:pPr>
        <w:spacing w:after="0" w:line="240" w:lineRule="auto"/>
        <w:rPr>
          <w:rFonts w:ascii="Brandon Grotesque Regular" w:eastAsiaTheme="minorEastAsia" w:hAnsi="Brandon Grotesque Regular" w:cstheme="minorHAnsi"/>
          <w:caps/>
          <w:color w:val="002060"/>
          <w:spacing w:val="80"/>
          <w:sz w:val="20"/>
          <w:szCs w:val="20"/>
          <w:lang w:val="en-GB" w:bidi="ar-SA"/>
        </w:rPr>
      </w:pPr>
      <w:r w:rsidRPr="00B979DE">
        <w:rPr>
          <w:rFonts w:ascii="Brandon Grotesque Regular" w:eastAsiaTheme="minorEastAsia" w:hAnsi="Brandon Grotesque Regular" w:cstheme="minorHAnsi"/>
          <w:caps/>
          <w:color w:val="002060"/>
          <w:spacing w:val="80"/>
          <w:sz w:val="20"/>
          <w:szCs w:val="20"/>
          <w:lang w:val="en-GB" w:bidi="ar-SA"/>
        </w:rPr>
        <w:t>slide number 7</w:t>
      </w:r>
    </w:p>
    <w:p w14:paraId="4E996F6A" w14:textId="77777777" w:rsidR="006E62ED" w:rsidRPr="00B979DE" w:rsidRDefault="006E62ED" w:rsidP="00F408E1">
      <w:pPr>
        <w:spacing w:after="0" w:line="240" w:lineRule="auto"/>
        <w:jc w:val="center"/>
        <w:rPr>
          <w:rFonts w:ascii="Brandon Grotesque Regular" w:hAnsi="Brandon Grotesque Regular" w:cstheme="minorHAnsi"/>
          <w:noProof/>
          <w:sz w:val="20"/>
          <w:szCs w:val="20"/>
        </w:rPr>
      </w:pPr>
    </w:p>
    <w:p w14:paraId="6F542227"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stheme="minorHAnsi"/>
          <w:noProof/>
          <w:sz w:val="22"/>
          <w:szCs w:val="22"/>
        </w:rPr>
        <w:t xml:space="preserve">Our Asset Finance business </w:t>
      </w:r>
      <w:r w:rsidRPr="00B979DE">
        <w:rPr>
          <w:rFonts w:ascii="Brandon Grotesque Regular" w:hAnsi="Brandon Grotesque Regular"/>
          <w:color w:val="000000" w:themeColor="text1"/>
          <w:sz w:val="22"/>
          <w:szCs w:val="22"/>
        </w:rPr>
        <w:t>delivered Originations growth of 19% .</w:t>
      </w:r>
    </w:p>
    <w:p w14:paraId="09AF1A8C"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p>
    <w:p w14:paraId="1D9A2163" w14:textId="309D3D0E"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t xml:space="preserve">Tier A Customer Originations at $1.3 billion grew 32% on PCP. Tier </w:t>
      </w:r>
      <w:proofErr w:type="gramStart"/>
      <w:r w:rsidRPr="00B979DE">
        <w:rPr>
          <w:rFonts w:ascii="Brandon Grotesque Regular" w:hAnsi="Brandon Grotesque Regular"/>
          <w:color w:val="000000" w:themeColor="text1"/>
          <w:sz w:val="22"/>
          <w:szCs w:val="22"/>
        </w:rPr>
        <w:t>A</w:t>
      </w:r>
      <w:proofErr w:type="gramEnd"/>
      <w:r w:rsidRPr="00B979DE">
        <w:rPr>
          <w:rFonts w:ascii="Brandon Grotesque Regular" w:hAnsi="Brandon Grotesque Regular"/>
          <w:color w:val="000000" w:themeColor="text1"/>
          <w:sz w:val="22"/>
          <w:szCs w:val="22"/>
        </w:rPr>
        <w:t xml:space="preserve"> Originations accounted for 75% of </w:t>
      </w:r>
      <w:r w:rsidR="00B979DE" w:rsidRPr="00B979DE">
        <w:rPr>
          <w:rFonts w:ascii="Brandon Grotesque Regular" w:hAnsi="Brandon Grotesque Regular"/>
          <w:color w:val="000000" w:themeColor="text1"/>
          <w:sz w:val="22"/>
          <w:szCs w:val="22"/>
        </w:rPr>
        <w:t xml:space="preserve">first half of </w:t>
      </w:r>
      <w:r w:rsidRPr="00B979DE">
        <w:rPr>
          <w:rFonts w:ascii="Brandon Grotesque Regular" w:hAnsi="Brandon Grotesque Regular"/>
          <w:color w:val="000000" w:themeColor="text1"/>
          <w:sz w:val="22"/>
          <w:szCs w:val="22"/>
        </w:rPr>
        <w:t xml:space="preserve">2025, with Tier B at 22% and Tier C at 3%. </w:t>
      </w:r>
    </w:p>
    <w:p w14:paraId="3CFF931B"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p>
    <w:p w14:paraId="33BB38DE" w14:textId="1E882EE8" w:rsidR="006E62ED" w:rsidRPr="00B979DE" w:rsidRDefault="006E62ED" w:rsidP="00F408E1">
      <w:pPr>
        <w:spacing w:after="0" w:line="240" w:lineRule="auto"/>
        <w:rPr>
          <w:rFonts w:ascii="Brandon Grotesque Regular" w:hAnsi="Brandon Grotesque Regular" w:cstheme="minorHAnsi"/>
          <w:noProof/>
          <w:sz w:val="22"/>
          <w:szCs w:val="22"/>
        </w:rPr>
      </w:pPr>
      <w:r w:rsidRPr="00B979DE">
        <w:rPr>
          <w:rFonts w:ascii="Brandon Grotesque Regular" w:hAnsi="Brandon Grotesque Regular"/>
          <w:color w:val="000000" w:themeColor="text1"/>
          <w:sz w:val="22"/>
          <w:szCs w:val="22"/>
        </w:rPr>
        <w:t xml:space="preserve">Novated Lease, which is predominately Tier A Customers, continued to perform strongly with Originations </w:t>
      </w:r>
      <w:r w:rsidR="00267917" w:rsidRPr="00B979DE">
        <w:rPr>
          <w:rFonts w:ascii="Brandon Grotesque Regular" w:hAnsi="Brandon Grotesque Regular"/>
          <w:color w:val="000000" w:themeColor="text1"/>
          <w:sz w:val="22"/>
          <w:szCs w:val="22"/>
        </w:rPr>
        <w:t>at</w:t>
      </w:r>
      <w:r w:rsidRPr="00B979DE">
        <w:rPr>
          <w:rFonts w:ascii="Brandon Grotesque Regular" w:hAnsi="Brandon Grotesque Regular"/>
          <w:color w:val="000000" w:themeColor="text1"/>
          <w:sz w:val="22"/>
          <w:szCs w:val="22"/>
        </w:rPr>
        <w:t xml:space="preserve"> $800 million increasing 23% on PCP.</w:t>
      </w:r>
    </w:p>
    <w:p w14:paraId="3081701F" w14:textId="77777777" w:rsidR="006E62ED" w:rsidRPr="00B979DE" w:rsidRDefault="006E62ED" w:rsidP="00F408E1">
      <w:pPr>
        <w:spacing w:after="0" w:line="240" w:lineRule="auto"/>
        <w:jc w:val="both"/>
        <w:rPr>
          <w:rFonts w:ascii="Brandon Grotesque Regular" w:hAnsi="Brandon Grotesque Regular"/>
          <w:color w:val="000000" w:themeColor="text1"/>
          <w:sz w:val="22"/>
          <w:szCs w:val="22"/>
        </w:rPr>
      </w:pPr>
    </w:p>
    <w:p w14:paraId="70B71612" w14:textId="77777777" w:rsidR="006E62ED" w:rsidRPr="00B979DE" w:rsidRDefault="006E62ED" w:rsidP="00F408E1">
      <w:pPr>
        <w:spacing w:after="0" w:line="240" w:lineRule="auto"/>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t>Asset Finance AUM grew by $600 million on PCP to close 30 June 2025 at $6.3 billion. Novated Lease accounted for 38% of closing AUM, up from 25% PCP, with Consumer accounting for 30% and Commercial 32%. Whilst demand was there, we nominated not to execute any Whole Loan Sales for Asset Finance over the period.</w:t>
      </w:r>
    </w:p>
    <w:p w14:paraId="3AD6B550" w14:textId="77777777" w:rsidR="006E62ED" w:rsidRPr="00B979DE" w:rsidRDefault="006E62ED" w:rsidP="00F408E1">
      <w:pPr>
        <w:spacing w:after="0" w:line="240" w:lineRule="auto"/>
        <w:jc w:val="both"/>
        <w:rPr>
          <w:rFonts w:ascii="Brandon Grotesque Regular" w:hAnsi="Brandon Grotesque Regular"/>
          <w:color w:val="000000" w:themeColor="text1"/>
          <w:sz w:val="22"/>
          <w:szCs w:val="22"/>
        </w:rPr>
      </w:pPr>
    </w:p>
    <w:p w14:paraId="59F692CE" w14:textId="1B3BFF01" w:rsidR="006E62ED" w:rsidRPr="00B979DE" w:rsidRDefault="006E62ED" w:rsidP="00F408E1">
      <w:pPr>
        <w:spacing w:after="0" w:line="240" w:lineRule="auto"/>
        <w:jc w:val="both"/>
        <w:rPr>
          <w:rFonts w:ascii="Brandon Grotesque Regular" w:hAnsi="Brandon Grotesque Regular"/>
          <w:color w:val="000000" w:themeColor="text1"/>
          <w:sz w:val="22"/>
          <w:szCs w:val="22"/>
        </w:rPr>
      </w:pPr>
      <w:r w:rsidRPr="00B979DE">
        <w:rPr>
          <w:rFonts w:ascii="Brandon Grotesque Regular" w:hAnsi="Brandon Grotesque Regular"/>
          <w:color w:val="000000" w:themeColor="text1"/>
          <w:sz w:val="22"/>
          <w:szCs w:val="22"/>
        </w:rPr>
        <w:t>Asset Finance business reported a sequential increase in NIM of 15 basis points on the second half of 2024 and a 21 basis points increase on PCP.  Asset Finance NIM benefited from:</w:t>
      </w:r>
    </w:p>
    <w:p w14:paraId="636AD362"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improved cost of funds; and</w:t>
      </w:r>
    </w:p>
    <w:p w14:paraId="143C3BAF"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relatively stable swap rates</w:t>
      </w:r>
    </w:p>
    <w:p w14:paraId="65CA5D52" w14:textId="77777777" w:rsidR="006E62ED" w:rsidRPr="00B979DE" w:rsidRDefault="006E62ED" w:rsidP="00F408E1">
      <w:pPr>
        <w:spacing w:after="0" w:line="240" w:lineRule="auto"/>
        <w:rPr>
          <w:rFonts w:ascii="Brandon Grotesque Regular" w:hAnsi="Brandon Grotesque Regular" w:cstheme="minorHAnsi"/>
          <w:noProof/>
          <w:sz w:val="22"/>
          <w:szCs w:val="22"/>
        </w:rPr>
      </w:pPr>
    </w:p>
    <w:p w14:paraId="1F6B0E33" w14:textId="77777777" w:rsidR="006E62ED" w:rsidRPr="00B979DE" w:rsidRDefault="006E62ED" w:rsidP="00F408E1">
      <w:pPr>
        <w:spacing w:after="0" w:line="240" w:lineRule="auto"/>
        <w:rPr>
          <w:rFonts w:ascii="Brandon Grotesque Regular" w:hAnsi="Brandon Grotesque Regular" w:cstheme="minorHAnsi"/>
          <w:noProof/>
          <w:sz w:val="22"/>
          <w:szCs w:val="22"/>
        </w:rPr>
      </w:pPr>
      <w:r w:rsidRPr="00B979DE">
        <w:rPr>
          <w:rFonts w:ascii="Brandon Grotesque Regular" w:hAnsi="Brandon Grotesque Regular" w:cstheme="minorHAnsi"/>
          <w:noProof/>
          <w:sz w:val="22"/>
          <w:szCs w:val="22"/>
        </w:rPr>
        <w:t xml:space="preserve">Again, Therese with cover the NIM walk and credit performance in  the Financials.    </w:t>
      </w:r>
    </w:p>
    <w:p w14:paraId="690C7438" w14:textId="77777777" w:rsidR="006E62ED" w:rsidRPr="00B979DE" w:rsidRDefault="006E62ED" w:rsidP="00F408E1">
      <w:pPr>
        <w:spacing w:after="0" w:line="240" w:lineRule="auto"/>
        <w:rPr>
          <w:rFonts w:ascii="Brandon Grotesque Regular" w:hAnsi="Brandon Grotesque Regular" w:cstheme="minorHAnsi"/>
          <w:noProof/>
          <w:sz w:val="22"/>
          <w:szCs w:val="22"/>
        </w:rPr>
      </w:pPr>
    </w:p>
    <w:p w14:paraId="1DD3834E" w14:textId="77777777" w:rsidR="006E62ED" w:rsidRDefault="006E62ED" w:rsidP="00F408E1">
      <w:pPr>
        <w:spacing w:after="0" w:line="240" w:lineRule="auto"/>
        <w:rPr>
          <w:rFonts w:ascii="Brandon Grotesque Regular" w:hAnsi="Brandon Grotesque Regular" w:cstheme="minorHAnsi"/>
          <w:noProof/>
          <w:sz w:val="22"/>
          <w:szCs w:val="22"/>
        </w:rPr>
      </w:pPr>
      <w:r w:rsidRPr="00F408E1">
        <w:rPr>
          <w:rFonts w:ascii="Brandon Grotesque Regular" w:hAnsi="Brandon Grotesque Regular" w:cstheme="minorHAnsi"/>
          <w:noProof/>
          <w:sz w:val="22"/>
          <w:szCs w:val="22"/>
        </w:rPr>
        <w:t>Now turning to slide 8.</w:t>
      </w:r>
    </w:p>
    <w:bookmarkEnd w:id="6"/>
    <w:p w14:paraId="1F16BE63" w14:textId="77777777" w:rsidR="00F408E1" w:rsidRDefault="00F408E1"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p>
    <w:p w14:paraId="62825824" w14:textId="38EAB461" w:rsidR="006E62ED" w:rsidRPr="00F408E1" w:rsidRDefault="006E62ED"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lastRenderedPageBreak/>
        <w:t>slide number 8</w:t>
      </w:r>
    </w:p>
    <w:p w14:paraId="3D7C392A" w14:textId="38A5A348" w:rsidR="006E62ED" w:rsidRDefault="006E62ED" w:rsidP="00F408E1">
      <w:pPr>
        <w:spacing w:after="0" w:line="240" w:lineRule="auto"/>
        <w:contextualSpacing/>
        <w:jc w:val="center"/>
        <w:rPr>
          <w:rFonts w:ascii="Brandon Grotesque Regular" w:hAnsi="Brandon Grotesque Regular"/>
          <w:noProof/>
          <w:sz w:val="20"/>
          <w:szCs w:val="20"/>
        </w:rPr>
      </w:pPr>
    </w:p>
    <w:p w14:paraId="1AEC500C" w14:textId="5ABAEC40" w:rsidR="006E62ED" w:rsidRPr="00B35C89"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bookmarkStart w:id="7" w:name="_Hlk175226043"/>
      <w:r w:rsidRPr="00B35C89">
        <w:rPr>
          <w:rFonts w:ascii="Brandon Grotesque Regular" w:eastAsiaTheme="minorEastAsia" w:hAnsi="Brandon Grotesque Regular" w:cstheme="minorHAnsi"/>
          <w:color w:val="000000" w:themeColor="text1"/>
          <w:sz w:val="22"/>
          <w:szCs w:val="22"/>
          <w:lang w:val="en-GB" w:bidi="ar-SA"/>
        </w:rPr>
        <w:t xml:space="preserve">We continue to see the benefits </w:t>
      </w:r>
      <w:r w:rsidR="00267917">
        <w:rPr>
          <w:rFonts w:ascii="Brandon Grotesque Regular" w:eastAsiaTheme="minorEastAsia" w:hAnsi="Brandon Grotesque Regular" w:cstheme="minorHAnsi"/>
          <w:color w:val="000000" w:themeColor="text1"/>
          <w:sz w:val="22"/>
          <w:szCs w:val="22"/>
          <w:lang w:val="en-GB" w:bidi="ar-SA"/>
        </w:rPr>
        <w:t>of</w:t>
      </w:r>
      <w:r>
        <w:rPr>
          <w:rFonts w:ascii="Brandon Grotesque Regular" w:eastAsiaTheme="minorEastAsia" w:hAnsi="Brandon Grotesque Regular" w:cstheme="minorHAnsi"/>
          <w:color w:val="000000" w:themeColor="text1"/>
          <w:sz w:val="22"/>
          <w:szCs w:val="22"/>
          <w:lang w:val="en-GB" w:bidi="ar-SA"/>
        </w:rPr>
        <w:t xml:space="preserve"> our</w:t>
      </w:r>
      <w:r w:rsidRPr="00B35C89">
        <w:rPr>
          <w:rFonts w:ascii="Brandon Grotesque Regular" w:eastAsiaTheme="minorEastAsia" w:hAnsi="Brandon Grotesque Regular" w:cstheme="minorHAnsi"/>
          <w:color w:val="000000" w:themeColor="text1"/>
          <w:sz w:val="22"/>
          <w:szCs w:val="22"/>
          <w:lang w:val="en-GB" w:bidi="ar-SA"/>
        </w:rPr>
        <w:t xml:space="preserve"> business diversification strategy –and</w:t>
      </w:r>
      <w:r>
        <w:rPr>
          <w:rFonts w:ascii="Brandon Grotesque Regular" w:eastAsiaTheme="minorEastAsia" w:hAnsi="Brandon Grotesque Regular" w:cstheme="minorHAnsi"/>
          <w:color w:val="000000" w:themeColor="text1"/>
          <w:sz w:val="22"/>
          <w:szCs w:val="22"/>
          <w:lang w:val="en-GB" w:bidi="ar-SA"/>
        </w:rPr>
        <w:t xml:space="preserve"> the</w:t>
      </w:r>
      <w:r w:rsidRPr="00B35C89">
        <w:rPr>
          <w:rFonts w:ascii="Brandon Grotesque Regular" w:eastAsiaTheme="minorEastAsia" w:hAnsi="Brandon Grotesque Regular" w:cstheme="minorHAnsi"/>
          <w:color w:val="000000" w:themeColor="text1"/>
          <w:sz w:val="22"/>
          <w:szCs w:val="22"/>
          <w:lang w:val="en-GB" w:bidi="ar-SA"/>
        </w:rPr>
        <w:t xml:space="preserve"> Loan and Other Servicing segment continue</w:t>
      </w:r>
      <w:r>
        <w:rPr>
          <w:rFonts w:ascii="Brandon Grotesque Regular" w:eastAsiaTheme="minorEastAsia" w:hAnsi="Brandon Grotesque Regular" w:cstheme="minorHAnsi"/>
          <w:color w:val="000000" w:themeColor="text1"/>
          <w:sz w:val="22"/>
          <w:szCs w:val="22"/>
          <w:lang w:val="en-GB" w:bidi="ar-SA"/>
        </w:rPr>
        <w:t>s</w:t>
      </w:r>
      <w:r w:rsidRPr="00B35C89">
        <w:rPr>
          <w:rFonts w:ascii="Brandon Grotesque Regular" w:eastAsiaTheme="minorEastAsia" w:hAnsi="Brandon Grotesque Regular" w:cstheme="minorHAnsi"/>
          <w:color w:val="000000" w:themeColor="text1"/>
          <w:sz w:val="22"/>
          <w:szCs w:val="22"/>
          <w:lang w:val="en-GB" w:bidi="ar-SA"/>
        </w:rPr>
        <w:t xml:space="preserve"> to report strong growth.  </w:t>
      </w:r>
    </w:p>
    <w:p w14:paraId="76C7AFAD" w14:textId="77777777" w:rsidR="006E62ED" w:rsidRPr="00B35C89" w:rsidRDefault="006E62ED"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bookmarkEnd w:id="7"/>
    <w:p w14:paraId="65AB7F73"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The Loan and Other Servicing business is the provision of independent loan servicing to the market, and includes:</w:t>
      </w:r>
    </w:p>
    <w:p w14:paraId="7F454580"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our Whole Loan Sales servicing </w:t>
      </w:r>
      <w:proofErr w:type="gramStart"/>
      <w:r w:rsidRPr="00B979DE">
        <w:rPr>
          <w:rFonts w:ascii="Brandon Grotesque Regular" w:eastAsiaTheme="minorEastAsia" w:hAnsi="Brandon Grotesque Regular" w:cstheme="minorHAnsi"/>
          <w:color w:val="000000" w:themeColor="text1"/>
          <w:sz w:val="22"/>
          <w:szCs w:val="22"/>
          <w:lang w:val="en-GB" w:bidi="ar-SA"/>
        </w:rPr>
        <w:t>program;</w:t>
      </w:r>
      <w:proofErr w:type="gramEnd"/>
    </w:p>
    <w:p w14:paraId="1F8840D4"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servicing for non-operational owners of loan portfolios; and</w:t>
      </w:r>
    </w:p>
    <w:p w14:paraId="492BCC46"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loan portfolio acquisition.</w:t>
      </w:r>
    </w:p>
    <w:p w14:paraId="3048694E" w14:textId="77777777" w:rsidR="006E62ED" w:rsidRPr="00B979DE" w:rsidRDefault="006E62ED" w:rsidP="00F408E1">
      <w:pPr>
        <w:pStyle w:val="ListParagraph"/>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 </w:t>
      </w:r>
    </w:p>
    <w:p w14:paraId="64FCA0F0"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Given the ongoing strong market demand for our Whole Loan Sale program, which supported $1.7 billion in Mortgage Whole Loan Sales over the first half of 2025, Servicing AUM closed at $4.3 billion – up 90% versus 30 June 2024 and 33% on December 2024 close.</w:t>
      </w:r>
    </w:p>
    <w:p w14:paraId="4AB6FB97"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68DEB8FA"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Servicing and Other Operating Income closed the first half of 2025 at $8.4 million – an increase of 57% on the first half of 2024 as the flow through of our Whole Loan Sales continues to deliver capital light service income growth. </w:t>
      </w:r>
    </w:p>
    <w:p w14:paraId="436B48F4"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05DA9555" w14:textId="77777777" w:rsidR="006E62ED" w:rsidRPr="00B979DE"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As I have said - building our Loan and Other Servicing business, via Whole Loan Sales, is part of our overall capital management strategy, as:</w:t>
      </w:r>
    </w:p>
    <w:p w14:paraId="2D9F8571"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it is capital light.  Whole Loan Sales allow us to recycle capital against growth </w:t>
      </w:r>
      <w:proofErr w:type="gramStart"/>
      <w:r w:rsidRPr="00B979DE">
        <w:rPr>
          <w:rFonts w:ascii="Brandon Grotesque Regular" w:eastAsiaTheme="minorEastAsia" w:hAnsi="Brandon Grotesque Regular" w:cstheme="minorHAnsi"/>
          <w:color w:val="000000" w:themeColor="text1"/>
          <w:sz w:val="22"/>
          <w:szCs w:val="22"/>
          <w:lang w:val="en-GB" w:bidi="ar-SA"/>
        </w:rPr>
        <w:t>opportunities;</w:t>
      </w:r>
      <w:proofErr w:type="gramEnd"/>
    </w:p>
    <w:p w14:paraId="5BCF164B" w14:textId="77777777" w:rsidR="006E62ED" w:rsidRPr="00B979DE"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it provides an annuity style income, and no incremental cost to the business given the loans are already being serviced; and</w:t>
      </w:r>
    </w:p>
    <w:p w14:paraId="329717B5" w14:textId="77777777" w:rsidR="006E62ED" w:rsidRPr="00EC0DFD" w:rsidRDefault="006E62ED"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it provides us with a defensive</w:t>
      </w:r>
      <w:r w:rsidRPr="00EC0DFD">
        <w:rPr>
          <w:rFonts w:ascii="Brandon Grotesque Regular" w:eastAsiaTheme="minorEastAsia" w:hAnsi="Brandon Grotesque Regular" w:cstheme="minorHAnsi"/>
          <w:color w:val="000000" w:themeColor="text1"/>
          <w:sz w:val="22"/>
          <w:szCs w:val="22"/>
          <w:lang w:val="en-GB" w:bidi="ar-SA"/>
        </w:rPr>
        <w:t xml:space="preserve"> earnings stream across the credit cycle.</w:t>
      </w:r>
    </w:p>
    <w:p w14:paraId="69755A23" w14:textId="77777777" w:rsidR="006E62ED"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82ACC21" w14:textId="36BBD224" w:rsidR="006E62ED" w:rsidRPr="00F408E1"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Turning to funding on slide 9.</w:t>
      </w:r>
    </w:p>
    <w:p w14:paraId="76196177" w14:textId="77777777" w:rsidR="00F408E1" w:rsidRDefault="00F408E1" w:rsidP="00F408E1">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5CE5D192" w14:textId="77777777" w:rsidR="006E62ED" w:rsidRPr="00F408E1" w:rsidRDefault="006E62ED" w:rsidP="00F408E1">
      <w:pPr>
        <w:pStyle w:val="ListParagraph"/>
        <w:spacing w:after="0" w:line="240" w:lineRule="auto"/>
        <w:ind w:left="0"/>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9</w:t>
      </w:r>
    </w:p>
    <w:p w14:paraId="77A5C818" w14:textId="46BD0445" w:rsidR="006E62ED" w:rsidRPr="00A03679" w:rsidRDefault="006E62ED" w:rsidP="00F408E1">
      <w:pPr>
        <w:pStyle w:val="ListParagraph"/>
        <w:spacing w:after="0" w:line="240" w:lineRule="auto"/>
        <w:ind w:left="360"/>
        <w:rPr>
          <w:rFonts w:ascii="Brandon Grotesque Regular" w:eastAsiaTheme="minorEastAsia" w:hAnsi="Brandon Grotesque Regular" w:cstheme="minorHAnsi"/>
          <w:color w:val="000000" w:themeColor="text1"/>
          <w:sz w:val="20"/>
          <w:szCs w:val="20"/>
          <w:highlight w:val="yellow"/>
          <w:lang w:val="en-GB" w:bidi="ar-SA"/>
        </w:rPr>
      </w:pPr>
    </w:p>
    <w:p w14:paraId="24856A43" w14:textId="77777777" w:rsidR="006E62ED" w:rsidRDefault="006E62ED" w:rsidP="00F408E1">
      <w:pPr>
        <w:spacing w:after="0" w:line="240" w:lineRule="auto"/>
        <w:jc w:val="both"/>
        <w:rPr>
          <w:rFonts w:ascii="Brandon Grotesque Regular" w:eastAsiaTheme="minorEastAsia" w:hAnsi="Brandon Grotesque Regular" w:cstheme="minorHAnsi"/>
          <w:color w:val="000000" w:themeColor="text1"/>
          <w:sz w:val="20"/>
          <w:szCs w:val="20"/>
          <w:highlight w:val="yellow"/>
          <w:lang w:val="en-GB" w:bidi="ar-SA"/>
        </w:rPr>
      </w:pPr>
      <w:r w:rsidRPr="00B45C65">
        <w:rPr>
          <w:rFonts w:ascii="Brandon Grotesque Regular" w:eastAsiaTheme="minorEastAsia" w:hAnsi="Brandon Grotesque Regular" w:cstheme="minorHAnsi"/>
          <w:color w:val="000000" w:themeColor="text1"/>
          <w:sz w:val="22"/>
          <w:szCs w:val="22"/>
          <w:lang w:val="en-GB" w:bidi="ar-SA"/>
        </w:rPr>
        <w:t xml:space="preserve">Our funding position remains strong. </w:t>
      </w:r>
    </w:p>
    <w:p w14:paraId="2D4A57CB" w14:textId="77777777" w:rsidR="006E62ED" w:rsidRDefault="006E62ED" w:rsidP="00F408E1">
      <w:pPr>
        <w:spacing w:after="0" w:line="240" w:lineRule="auto"/>
        <w:jc w:val="both"/>
        <w:rPr>
          <w:rFonts w:ascii="Brandon Grotesque Regular" w:eastAsiaTheme="minorEastAsia" w:hAnsi="Brandon Grotesque Regular" w:cstheme="minorHAnsi"/>
          <w:color w:val="000000" w:themeColor="text1"/>
          <w:sz w:val="20"/>
          <w:szCs w:val="20"/>
          <w:highlight w:val="yellow"/>
          <w:lang w:val="en-GB" w:bidi="ar-SA"/>
        </w:rPr>
      </w:pPr>
    </w:p>
    <w:p w14:paraId="1816DD37" w14:textId="77777777" w:rsidR="006E62ED" w:rsidRPr="00F87727" w:rsidRDefault="006E62ED" w:rsidP="00F408E1">
      <w:pPr>
        <w:autoSpaceDE w:val="0"/>
        <w:autoSpaceDN w:val="0"/>
        <w:adjustRightInd w:val="0"/>
        <w:spacing w:after="10" w:line="240" w:lineRule="auto"/>
        <w:jc w:val="both"/>
        <w:rPr>
          <w:rFonts w:ascii="Brandon Grotesque Regular" w:hAnsi="Brandon Grotesque Regular"/>
          <w:sz w:val="22"/>
          <w:szCs w:val="22"/>
        </w:rPr>
      </w:pPr>
      <w:r w:rsidRPr="00F87727">
        <w:rPr>
          <w:rFonts w:ascii="Brandon Grotesque Regular" w:eastAsiaTheme="minorEastAsia" w:hAnsi="Brandon Grotesque Regular" w:cstheme="minorHAnsi"/>
          <w:color w:val="000000" w:themeColor="text1"/>
          <w:sz w:val="22"/>
          <w:szCs w:val="22"/>
          <w:lang w:val="en-GB" w:bidi="ar-SA"/>
        </w:rPr>
        <w:t xml:space="preserve">Total Warehouse capacity </w:t>
      </w:r>
      <w:proofErr w:type="gramStart"/>
      <w:r w:rsidRPr="00F87727">
        <w:rPr>
          <w:rFonts w:ascii="Brandon Grotesque Regular" w:eastAsiaTheme="minorEastAsia" w:hAnsi="Brandon Grotesque Regular" w:cstheme="minorHAnsi"/>
          <w:color w:val="000000" w:themeColor="text1"/>
          <w:sz w:val="22"/>
          <w:szCs w:val="22"/>
          <w:lang w:val="en-GB" w:bidi="ar-SA"/>
        </w:rPr>
        <w:t>at</w:t>
      </w:r>
      <w:proofErr w:type="gramEnd"/>
      <w:r w:rsidRPr="00F87727">
        <w:rPr>
          <w:rFonts w:ascii="Brandon Grotesque Regular" w:eastAsiaTheme="minorEastAsia" w:hAnsi="Brandon Grotesque Regular" w:cstheme="minorHAnsi"/>
          <w:color w:val="000000" w:themeColor="text1"/>
          <w:sz w:val="22"/>
          <w:szCs w:val="22"/>
          <w:lang w:val="en-GB" w:bidi="ar-SA"/>
        </w:rPr>
        <w:t xml:space="preserve"> 30 June 2025 was $11.5 billion</w:t>
      </w:r>
      <w:r w:rsidRPr="00F87727">
        <w:rPr>
          <w:rFonts w:ascii="Brandon Grotesque Regular" w:hAnsi="Brandon Grotesque Regular"/>
          <w:sz w:val="22"/>
          <w:szCs w:val="22"/>
        </w:rPr>
        <w:t>, an increase of $</w:t>
      </w:r>
      <w:r>
        <w:rPr>
          <w:rFonts w:ascii="Brandon Grotesque Regular" w:hAnsi="Brandon Grotesque Regular"/>
          <w:sz w:val="22"/>
          <w:szCs w:val="22"/>
        </w:rPr>
        <w:t>600 million</w:t>
      </w:r>
      <w:r w:rsidRPr="00F87727">
        <w:rPr>
          <w:rFonts w:ascii="Brandon Grotesque Regular" w:hAnsi="Brandon Grotesque Regular"/>
          <w:sz w:val="22"/>
          <w:szCs w:val="22"/>
        </w:rPr>
        <w:t xml:space="preserve"> on 31 December 2024 and an increase </w:t>
      </w:r>
      <w:r>
        <w:rPr>
          <w:rFonts w:ascii="Brandon Grotesque Regular" w:hAnsi="Brandon Grotesque Regular"/>
          <w:sz w:val="22"/>
          <w:szCs w:val="22"/>
        </w:rPr>
        <w:t>of</w:t>
      </w:r>
      <w:r w:rsidRPr="00F87727">
        <w:rPr>
          <w:rFonts w:ascii="Brandon Grotesque Regular" w:hAnsi="Brandon Grotesque Regular"/>
          <w:sz w:val="22"/>
          <w:szCs w:val="22"/>
        </w:rPr>
        <w:t xml:space="preserve"> $2.3 billion on </w:t>
      </w:r>
      <w:r>
        <w:rPr>
          <w:rFonts w:ascii="Brandon Grotesque Regular" w:hAnsi="Brandon Grotesque Regular"/>
          <w:sz w:val="22"/>
          <w:szCs w:val="22"/>
        </w:rPr>
        <w:t>PCP</w:t>
      </w:r>
      <w:r w:rsidRPr="00F87727">
        <w:rPr>
          <w:rFonts w:ascii="Brandon Grotesque Regular" w:hAnsi="Brandon Grotesque Regular"/>
          <w:sz w:val="22"/>
          <w:szCs w:val="22"/>
        </w:rPr>
        <w:t>.</w:t>
      </w:r>
    </w:p>
    <w:p w14:paraId="403151FC" w14:textId="77777777" w:rsidR="006E62ED" w:rsidRPr="00F87727" w:rsidRDefault="006E62ED" w:rsidP="00F408E1">
      <w:pPr>
        <w:autoSpaceDE w:val="0"/>
        <w:autoSpaceDN w:val="0"/>
        <w:adjustRightInd w:val="0"/>
        <w:spacing w:after="10" w:line="240" w:lineRule="auto"/>
        <w:jc w:val="both"/>
        <w:rPr>
          <w:rFonts w:ascii="Brandon Grotesque Regular" w:hAnsi="Brandon Grotesque Regular"/>
          <w:sz w:val="22"/>
          <w:szCs w:val="22"/>
        </w:rPr>
      </w:pPr>
    </w:p>
    <w:p w14:paraId="3F230391" w14:textId="45AA51AE"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87727">
        <w:rPr>
          <w:rFonts w:ascii="Brandon Grotesque Regular" w:eastAsiaTheme="minorEastAsia" w:hAnsi="Brandon Grotesque Regular" w:cstheme="minorHAnsi"/>
          <w:color w:val="000000" w:themeColor="text1"/>
          <w:sz w:val="22"/>
          <w:szCs w:val="22"/>
          <w:lang w:val="en-GB" w:bidi="ar-SA"/>
        </w:rPr>
        <w:t>As always – we take a balance</w:t>
      </w:r>
      <w:r>
        <w:rPr>
          <w:rFonts w:ascii="Brandon Grotesque Regular" w:eastAsiaTheme="minorEastAsia" w:hAnsi="Brandon Grotesque Regular" w:cstheme="minorHAnsi"/>
          <w:color w:val="000000" w:themeColor="text1"/>
          <w:sz w:val="22"/>
          <w:szCs w:val="22"/>
          <w:lang w:val="en-GB" w:bidi="ar-SA"/>
        </w:rPr>
        <w:t>d</w:t>
      </w:r>
      <w:r w:rsidRPr="00F87727">
        <w:rPr>
          <w:rFonts w:ascii="Brandon Grotesque Regular" w:eastAsiaTheme="minorEastAsia" w:hAnsi="Brandon Grotesque Regular" w:cstheme="minorHAnsi"/>
          <w:color w:val="000000" w:themeColor="text1"/>
          <w:sz w:val="22"/>
          <w:szCs w:val="22"/>
          <w:lang w:val="en-GB" w:bidi="ar-SA"/>
        </w:rPr>
        <w:t xml:space="preserve"> approach to funding - we maintain around 4</w:t>
      </w:r>
      <w:r>
        <w:rPr>
          <w:rFonts w:ascii="Brandon Grotesque Regular" w:eastAsiaTheme="minorEastAsia" w:hAnsi="Brandon Grotesque Regular" w:cstheme="minorHAnsi"/>
          <w:color w:val="000000" w:themeColor="text1"/>
          <w:sz w:val="22"/>
          <w:szCs w:val="22"/>
          <w:lang w:val="en-GB" w:bidi="ar-SA"/>
        </w:rPr>
        <w:t xml:space="preserve"> to 6</w:t>
      </w:r>
      <w:r w:rsidRPr="00F87727">
        <w:rPr>
          <w:rFonts w:ascii="Brandon Grotesque Regular" w:eastAsiaTheme="minorEastAsia" w:hAnsi="Brandon Grotesque Regular" w:cstheme="minorHAnsi"/>
          <w:color w:val="000000" w:themeColor="text1"/>
          <w:sz w:val="22"/>
          <w:szCs w:val="22"/>
          <w:lang w:val="en-GB" w:bidi="ar-SA"/>
        </w:rPr>
        <w:t xml:space="preserve"> months of warehouse funding headroom.   This allows us to continue to originate if markets lock up, and importantly, </w:t>
      </w:r>
      <w:r>
        <w:rPr>
          <w:rFonts w:ascii="Brandon Grotesque Regular" w:eastAsiaTheme="minorEastAsia" w:hAnsi="Brandon Grotesque Regular" w:cstheme="minorHAnsi"/>
          <w:color w:val="000000" w:themeColor="text1"/>
          <w:sz w:val="22"/>
          <w:szCs w:val="22"/>
          <w:lang w:val="en-GB" w:bidi="ar-SA"/>
        </w:rPr>
        <w:t xml:space="preserve">we </w:t>
      </w:r>
      <w:r w:rsidRPr="00F87727">
        <w:rPr>
          <w:rFonts w:ascii="Brandon Grotesque Regular" w:eastAsiaTheme="minorEastAsia" w:hAnsi="Brandon Grotesque Regular" w:cstheme="minorHAnsi"/>
          <w:color w:val="000000" w:themeColor="text1"/>
          <w:sz w:val="22"/>
          <w:szCs w:val="22"/>
          <w:lang w:val="en-GB" w:bidi="ar-SA"/>
        </w:rPr>
        <w:t>are also able to fund growth opportunities</w:t>
      </w:r>
      <w:r w:rsidR="00267917">
        <w:rPr>
          <w:rFonts w:ascii="Brandon Grotesque Regular" w:eastAsiaTheme="minorEastAsia" w:hAnsi="Brandon Grotesque Regular" w:cstheme="minorHAnsi"/>
          <w:color w:val="000000" w:themeColor="text1"/>
          <w:sz w:val="22"/>
          <w:szCs w:val="22"/>
          <w:lang w:val="en-GB" w:bidi="ar-SA"/>
        </w:rPr>
        <w:t xml:space="preserve"> as they emerge.</w:t>
      </w:r>
    </w:p>
    <w:p w14:paraId="3D4CB568"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42D8278E" w14:textId="6024A54B"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87727">
        <w:rPr>
          <w:rFonts w:ascii="Brandon Grotesque Regular" w:eastAsiaTheme="minorEastAsia" w:hAnsi="Brandon Grotesque Regular" w:cstheme="minorHAnsi"/>
          <w:color w:val="000000" w:themeColor="text1"/>
          <w:sz w:val="22"/>
          <w:szCs w:val="22"/>
          <w:lang w:val="en-GB" w:bidi="ar-SA"/>
        </w:rPr>
        <w:t xml:space="preserve">Over the first half of 2025 we completed </w:t>
      </w:r>
      <w:r>
        <w:rPr>
          <w:rFonts w:ascii="Brandon Grotesque Regular" w:eastAsiaTheme="minorEastAsia" w:hAnsi="Brandon Grotesque Regular" w:cstheme="minorHAnsi"/>
          <w:color w:val="000000" w:themeColor="text1"/>
          <w:sz w:val="22"/>
          <w:szCs w:val="22"/>
          <w:lang w:val="en-GB" w:bidi="ar-SA"/>
        </w:rPr>
        <w:t>an</w:t>
      </w:r>
      <w:r w:rsidRPr="00F87727">
        <w:rPr>
          <w:rFonts w:ascii="Brandon Grotesque Regular" w:eastAsiaTheme="minorEastAsia" w:hAnsi="Brandon Grotesque Regular" w:cstheme="minorHAnsi"/>
          <w:color w:val="000000" w:themeColor="text1"/>
          <w:sz w:val="22"/>
          <w:szCs w:val="22"/>
          <w:lang w:val="en-GB" w:bidi="ar-SA"/>
        </w:rPr>
        <w:t xml:space="preserve"> Asset-Backed Securities transaction - SPARKZ 9 - raising $1.0 billion from public markets. As previously noted, we complemented our Public Term securitisations, with a further $1.7 billion raised from Whole Loan Sales, bringing our total funds raised to $2.8 billion.</w:t>
      </w:r>
    </w:p>
    <w:p w14:paraId="79724514"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FD10FF2"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87727">
        <w:rPr>
          <w:rFonts w:ascii="Brandon Grotesque Regular" w:eastAsiaTheme="minorEastAsia" w:hAnsi="Brandon Grotesque Regular" w:cstheme="minorHAnsi"/>
          <w:color w:val="000000" w:themeColor="text1"/>
          <w:sz w:val="22"/>
          <w:szCs w:val="22"/>
          <w:lang w:val="en-GB" w:bidi="ar-SA"/>
        </w:rPr>
        <w:t xml:space="preserve">We have now raised more than $42 billion from debt markets across 65 transactions since 2003.  We have long, strong relationships with investors – with over 100 </w:t>
      </w:r>
      <w:r>
        <w:rPr>
          <w:rFonts w:ascii="Brandon Grotesque Regular" w:eastAsiaTheme="minorEastAsia" w:hAnsi="Brandon Grotesque Regular" w:cstheme="minorHAnsi"/>
          <w:color w:val="000000" w:themeColor="text1"/>
          <w:sz w:val="22"/>
          <w:szCs w:val="22"/>
          <w:lang w:val="en-GB" w:bidi="ar-SA"/>
        </w:rPr>
        <w:t xml:space="preserve">investors </w:t>
      </w:r>
      <w:r w:rsidRPr="00F87727">
        <w:rPr>
          <w:rFonts w:ascii="Brandon Grotesque Regular" w:eastAsiaTheme="minorEastAsia" w:hAnsi="Brandon Grotesque Regular" w:cstheme="minorHAnsi"/>
          <w:color w:val="000000" w:themeColor="text1"/>
          <w:sz w:val="22"/>
          <w:szCs w:val="22"/>
          <w:lang w:val="en-GB" w:bidi="ar-SA"/>
        </w:rPr>
        <w:t>always supporting the business, and our reputation and performance is exemplary</w:t>
      </w:r>
      <w:r>
        <w:rPr>
          <w:rFonts w:ascii="Brandon Grotesque Regular" w:eastAsiaTheme="minorEastAsia" w:hAnsi="Brandon Grotesque Regular" w:cstheme="minorHAnsi"/>
          <w:color w:val="000000" w:themeColor="text1"/>
          <w:sz w:val="22"/>
          <w:szCs w:val="22"/>
          <w:lang w:val="en-GB" w:bidi="ar-SA"/>
        </w:rPr>
        <w:t>.</w:t>
      </w:r>
      <w:r w:rsidRPr="00F87727">
        <w:rPr>
          <w:rFonts w:ascii="Brandon Grotesque Regular" w:eastAsiaTheme="minorEastAsia" w:hAnsi="Brandon Grotesque Regular" w:cstheme="minorHAnsi"/>
          <w:color w:val="000000" w:themeColor="text1"/>
          <w:sz w:val="22"/>
          <w:szCs w:val="22"/>
          <w:lang w:val="en-GB" w:bidi="ar-SA"/>
        </w:rPr>
        <w:t xml:space="preserve">    </w:t>
      </w:r>
    </w:p>
    <w:p w14:paraId="025D7E2D"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57BE2DDB"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87727">
        <w:rPr>
          <w:rFonts w:ascii="Brandon Grotesque Regular" w:eastAsiaTheme="minorEastAsia" w:hAnsi="Brandon Grotesque Regular" w:cstheme="minorHAnsi"/>
          <w:color w:val="000000" w:themeColor="text1"/>
          <w:sz w:val="22"/>
          <w:szCs w:val="22"/>
          <w:lang w:val="en-GB" w:bidi="ar-SA"/>
        </w:rPr>
        <w:lastRenderedPageBreak/>
        <w:t xml:space="preserve">Before turning over to Therese to run through the financials I would like to just spend some time </w:t>
      </w:r>
      <w:r>
        <w:rPr>
          <w:rFonts w:ascii="Brandon Grotesque Regular" w:eastAsiaTheme="minorEastAsia" w:hAnsi="Brandon Grotesque Regular" w:cstheme="minorHAnsi"/>
          <w:color w:val="000000" w:themeColor="text1"/>
          <w:sz w:val="22"/>
          <w:szCs w:val="22"/>
          <w:lang w:val="en-GB" w:bidi="ar-SA"/>
        </w:rPr>
        <w:t xml:space="preserve">on </w:t>
      </w:r>
      <w:r w:rsidRPr="00F87727">
        <w:rPr>
          <w:rFonts w:ascii="Brandon Grotesque Regular" w:eastAsiaTheme="minorEastAsia" w:hAnsi="Brandon Grotesque Regular" w:cstheme="minorHAnsi"/>
          <w:color w:val="000000" w:themeColor="text1"/>
          <w:sz w:val="22"/>
          <w:szCs w:val="22"/>
          <w:lang w:val="en-GB" w:bidi="ar-SA"/>
        </w:rPr>
        <w:t>our productivity and efficiency performance.</w:t>
      </w:r>
    </w:p>
    <w:p w14:paraId="35F21C87" w14:textId="77777777" w:rsidR="006E62ED" w:rsidRPr="00F87727"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542030A" w14:textId="5A1C9066" w:rsidR="006E62ED" w:rsidRPr="00F408E1"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Turning to slide 10.</w:t>
      </w:r>
      <w:r w:rsidR="00F408E1" w:rsidRPr="00F408E1">
        <w:rPr>
          <w:rFonts w:ascii="Brandon Grotesque Regular" w:eastAsiaTheme="minorEastAsia" w:hAnsi="Brandon Grotesque Regular" w:cstheme="minorHAnsi"/>
          <w:color w:val="000000" w:themeColor="text1"/>
          <w:sz w:val="22"/>
          <w:szCs w:val="22"/>
          <w:lang w:val="en-GB" w:bidi="ar-SA"/>
        </w:rPr>
        <w:t xml:space="preserve"> </w:t>
      </w:r>
    </w:p>
    <w:p w14:paraId="707B5D96" w14:textId="68480A52" w:rsidR="006E62ED" w:rsidRDefault="006E62ED" w:rsidP="00F408E1">
      <w:pPr>
        <w:rPr>
          <w:rFonts w:ascii="Brandon Grotesque Regular" w:eastAsiaTheme="minorEastAsia" w:hAnsi="Brandon Grotesque Regular" w:cstheme="minorHAnsi"/>
          <w:color w:val="000000" w:themeColor="text1"/>
          <w:sz w:val="20"/>
          <w:szCs w:val="20"/>
          <w:highlight w:val="yellow"/>
          <w:lang w:val="en-GB" w:bidi="ar-SA"/>
        </w:rPr>
      </w:pPr>
    </w:p>
    <w:p w14:paraId="47C24438" w14:textId="77777777" w:rsidR="006E62ED" w:rsidRPr="00F408E1" w:rsidRDefault="006E62ED" w:rsidP="00F408E1">
      <w:pPr>
        <w:pStyle w:val="ListParagraph"/>
        <w:spacing w:after="0" w:line="240" w:lineRule="auto"/>
        <w:ind w:left="0"/>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10</w:t>
      </w:r>
    </w:p>
    <w:p w14:paraId="02BFF496" w14:textId="2EC0D5F7" w:rsidR="006E62ED" w:rsidRPr="00A03679" w:rsidRDefault="006E62ED" w:rsidP="00F408E1">
      <w:pPr>
        <w:pStyle w:val="ListParagraph"/>
        <w:spacing w:after="0" w:line="240" w:lineRule="auto"/>
        <w:ind w:left="360"/>
        <w:rPr>
          <w:rFonts w:ascii="Brandon Grotesque Regular" w:eastAsiaTheme="minorEastAsia" w:hAnsi="Brandon Grotesque Regular" w:cstheme="minorHAnsi"/>
          <w:color w:val="000000" w:themeColor="text1"/>
          <w:sz w:val="20"/>
          <w:szCs w:val="20"/>
          <w:highlight w:val="yellow"/>
          <w:lang w:val="en-GB" w:bidi="ar-SA"/>
        </w:rPr>
      </w:pPr>
    </w:p>
    <w:p w14:paraId="4A5A1A5B" w14:textId="1C22404E" w:rsidR="006E62ED" w:rsidRPr="00AD511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AD5114">
        <w:rPr>
          <w:rFonts w:ascii="Brandon Grotesque Regular" w:eastAsiaTheme="minorEastAsia" w:hAnsi="Brandon Grotesque Regular" w:cstheme="minorHAnsi"/>
          <w:color w:val="000000" w:themeColor="text1"/>
          <w:sz w:val="22"/>
          <w:szCs w:val="22"/>
          <w:lang w:val="en-GB" w:bidi="ar-SA"/>
        </w:rPr>
        <w:t xml:space="preserve">We have always made constant investment in our technology platform and processes.  Our approach is to ensure that the full potential is reached. </w:t>
      </w:r>
      <w:r>
        <w:rPr>
          <w:rFonts w:ascii="Brandon Grotesque Regular" w:eastAsiaTheme="minorEastAsia" w:hAnsi="Brandon Grotesque Regular" w:cstheme="minorHAnsi"/>
          <w:color w:val="000000" w:themeColor="text1"/>
          <w:sz w:val="22"/>
          <w:szCs w:val="22"/>
          <w:lang w:val="en-GB" w:bidi="ar-SA"/>
        </w:rPr>
        <w:t xml:space="preserve"> </w:t>
      </w:r>
      <w:r w:rsidRPr="00812223">
        <w:rPr>
          <w:rFonts w:ascii="Brandon Grotesque Regular" w:eastAsiaTheme="minorEastAsia" w:hAnsi="Brandon Grotesque Regular" w:cstheme="minorHAnsi"/>
          <w:color w:val="000000" w:themeColor="text1"/>
          <w:sz w:val="22"/>
          <w:szCs w:val="22"/>
          <w:lang w:val="en-GB" w:bidi="ar-SA"/>
        </w:rPr>
        <w:t>Our efficient and scal</w:t>
      </w:r>
      <w:r>
        <w:rPr>
          <w:rFonts w:ascii="Brandon Grotesque Regular" w:eastAsiaTheme="minorEastAsia" w:hAnsi="Brandon Grotesque Regular" w:cstheme="minorHAnsi"/>
          <w:color w:val="000000" w:themeColor="text1"/>
          <w:sz w:val="22"/>
          <w:szCs w:val="22"/>
          <w:lang w:val="en-GB" w:bidi="ar-SA"/>
        </w:rPr>
        <w:t xml:space="preserve">ed </w:t>
      </w:r>
      <w:r w:rsidRPr="00812223">
        <w:rPr>
          <w:rFonts w:ascii="Brandon Grotesque Regular" w:eastAsiaTheme="minorEastAsia" w:hAnsi="Brandon Grotesque Regular" w:cstheme="minorHAnsi"/>
          <w:color w:val="000000" w:themeColor="text1"/>
          <w:sz w:val="22"/>
          <w:szCs w:val="22"/>
          <w:lang w:val="en-GB" w:bidi="ar-SA"/>
        </w:rPr>
        <w:t>technology platform</w:t>
      </w:r>
      <w:r>
        <w:rPr>
          <w:rFonts w:ascii="Brandon Grotesque Regular" w:eastAsiaTheme="minorEastAsia" w:hAnsi="Brandon Grotesque Regular" w:cstheme="minorHAnsi"/>
          <w:color w:val="000000" w:themeColor="text1"/>
          <w:sz w:val="22"/>
          <w:szCs w:val="22"/>
          <w:lang w:val="en-GB" w:bidi="ar-SA"/>
        </w:rPr>
        <w:t xml:space="preserve">, our focus on process improvement and our digital </w:t>
      </w:r>
      <w:r w:rsidRPr="00812223">
        <w:rPr>
          <w:rFonts w:ascii="Brandon Grotesque Regular" w:eastAsiaTheme="minorEastAsia" w:hAnsi="Brandon Grotesque Regular" w:cstheme="minorHAnsi"/>
          <w:color w:val="000000" w:themeColor="text1"/>
          <w:sz w:val="22"/>
          <w:szCs w:val="22"/>
          <w:lang w:val="en-GB" w:bidi="ar-SA"/>
        </w:rPr>
        <w:t xml:space="preserve">capabilities </w:t>
      </w:r>
      <w:r>
        <w:rPr>
          <w:rFonts w:ascii="Brandon Grotesque Regular" w:eastAsiaTheme="minorEastAsia" w:hAnsi="Brandon Grotesque Regular" w:cstheme="minorHAnsi"/>
          <w:color w:val="000000" w:themeColor="text1"/>
          <w:sz w:val="22"/>
          <w:szCs w:val="22"/>
          <w:lang w:val="en-GB" w:bidi="ar-SA"/>
        </w:rPr>
        <w:t>are all</w:t>
      </w:r>
      <w:r w:rsidRPr="00812223">
        <w:rPr>
          <w:rFonts w:ascii="Brandon Grotesque Regular" w:eastAsiaTheme="minorEastAsia" w:hAnsi="Brandon Grotesque Regular" w:cstheme="minorHAnsi"/>
          <w:color w:val="000000" w:themeColor="text1"/>
          <w:sz w:val="22"/>
          <w:szCs w:val="22"/>
          <w:lang w:val="en-GB" w:bidi="ar-SA"/>
        </w:rPr>
        <w:t xml:space="preserve"> </w:t>
      </w:r>
      <w:r w:rsidRPr="00AD5114">
        <w:rPr>
          <w:rFonts w:ascii="Brandon Grotesque Regular" w:eastAsiaTheme="minorEastAsia" w:hAnsi="Brandon Grotesque Regular" w:cstheme="minorHAnsi"/>
          <w:color w:val="000000" w:themeColor="text1"/>
          <w:sz w:val="22"/>
          <w:szCs w:val="22"/>
          <w:lang w:val="en-GB" w:bidi="ar-SA"/>
        </w:rPr>
        <w:t>key factor</w:t>
      </w:r>
      <w:r>
        <w:rPr>
          <w:rFonts w:ascii="Brandon Grotesque Regular" w:eastAsiaTheme="minorEastAsia" w:hAnsi="Brandon Grotesque Regular" w:cstheme="minorHAnsi"/>
          <w:color w:val="000000" w:themeColor="text1"/>
          <w:sz w:val="22"/>
          <w:szCs w:val="22"/>
          <w:lang w:val="en-GB" w:bidi="ar-SA"/>
        </w:rPr>
        <w:t>s</w:t>
      </w:r>
      <w:r w:rsidRPr="00AD5114">
        <w:rPr>
          <w:rFonts w:ascii="Brandon Grotesque Regular" w:eastAsiaTheme="minorEastAsia" w:hAnsi="Brandon Grotesque Regular" w:cstheme="minorHAnsi"/>
          <w:color w:val="000000" w:themeColor="text1"/>
          <w:sz w:val="22"/>
          <w:szCs w:val="22"/>
          <w:lang w:val="en-GB" w:bidi="ar-SA"/>
        </w:rPr>
        <w:t xml:space="preserve"> enabling the business to manage and fulfil Originations growth on reduc</w:t>
      </w:r>
      <w:r>
        <w:rPr>
          <w:rFonts w:ascii="Brandon Grotesque Regular" w:eastAsiaTheme="minorEastAsia" w:hAnsi="Brandon Grotesque Regular" w:cstheme="minorHAnsi"/>
          <w:color w:val="000000" w:themeColor="text1"/>
          <w:sz w:val="22"/>
          <w:szCs w:val="22"/>
          <w:lang w:val="en-GB" w:bidi="ar-SA"/>
        </w:rPr>
        <w:t>ed</w:t>
      </w:r>
      <w:r w:rsidRPr="00AD5114">
        <w:rPr>
          <w:rFonts w:ascii="Brandon Grotesque Regular" w:eastAsiaTheme="minorEastAsia" w:hAnsi="Brandon Grotesque Regular" w:cstheme="minorHAnsi"/>
          <w:color w:val="000000" w:themeColor="text1"/>
          <w:sz w:val="22"/>
          <w:szCs w:val="22"/>
          <w:lang w:val="en-GB" w:bidi="ar-SA"/>
        </w:rPr>
        <w:t xml:space="preserve"> cost</w:t>
      </w:r>
      <w:r>
        <w:rPr>
          <w:rFonts w:ascii="Brandon Grotesque Regular" w:eastAsiaTheme="minorEastAsia" w:hAnsi="Brandon Grotesque Regular" w:cstheme="minorHAnsi"/>
          <w:color w:val="000000" w:themeColor="text1"/>
          <w:sz w:val="22"/>
          <w:szCs w:val="22"/>
          <w:lang w:val="en-GB" w:bidi="ar-SA"/>
        </w:rPr>
        <w:t xml:space="preserve"> to acquire </w:t>
      </w:r>
      <w:r w:rsidR="00267917">
        <w:rPr>
          <w:rFonts w:ascii="Brandon Grotesque Regular" w:eastAsiaTheme="minorEastAsia" w:hAnsi="Brandon Grotesque Regular" w:cstheme="minorHAnsi"/>
          <w:color w:val="000000" w:themeColor="text1"/>
          <w:sz w:val="22"/>
          <w:szCs w:val="22"/>
          <w:lang w:val="en-GB" w:bidi="ar-SA"/>
        </w:rPr>
        <w:t>and</w:t>
      </w:r>
      <w:r>
        <w:rPr>
          <w:rFonts w:ascii="Brandon Grotesque Regular" w:eastAsiaTheme="minorEastAsia" w:hAnsi="Brandon Grotesque Regular" w:cstheme="minorHAnsi"/>
          <w:color w:val="000000" w:themeColor="text1"/>
          <w:sz w:val="22"/>
          <w:szCs w:val="22"/>
          <w:lang w:val="en-GB" w:bidi="ar-SA"/>
        </w:rPr>
        <w:t xml:space="preserve"> serve</w:t>
      </w:r>
      <w:r w:rsidRPr="00AD5114">
        <w:rPr>
          <w:rFonts w:ascii="Brandon Grotesque Regular" w:eastAsiaTheme="minorEastAsia" w:hAnsi="Brandon Grotesque Regular" w:cstheme="minorHAnsi"/>
          <w:color w:val="000000" w:themeColor="text1"/>
          <w:sz w:val="22"/>
          <w:szCs w:val="22"/>
          <w:lang w:val="en-GB" w:bidi="ar-SA"/>
        </w:rPr>
        <w:t xml:space="preserve">. </w:t>
      </w:r>
    </w:p>
    <w:p w14:paraId="7DB1FE7B" w14:textId="77777777" w:rsidR="006E62ED" w:rsidRPr="00AD5114" w:rsidRDefault="006E62ED" w:rsidP="00F408E1">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07CA454" w14:textId="77777777" w:rsidR="006E62ED"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In both our Mortgage and Asset Finance Origination platforms – called Sage and Solana respectively - o</w:t>
      </w:r>
      <w:r w:rsidRPr="00C53DB0">
        <w:rPr>
          <w:rFonts w:ascii="Brandon Grotesque Regular" w:eastAsiaTheme="minorEastAsia" w:hAnsi="Brandon Grotesque Regular" w:cstheme="minorHAnsi"/>
          <w:color w:val="000000" w:themeColor="text1"/>
          <w:sz w:val="22"/>
          <w:szCs w:val="22"/>
          <w:lang w:val="en-GB" w:bidi="ar-SA"/>
        </w:rPr>
        <w:t>ur cost to originate is seeing the benefit</w:t>
      </w:r>
      <w:r>
        <w:rPr>
          <w:rFonts w:ascii="Brandon Grotesque Regular" w:eastAsiaTheme="minorEastAsia" w:hAnsi="Brandon Grotesque Regular" w:cstheme="minorHAnsi"/>
          <w:color w:val="000000" w:themeColor="text1"/>
          <w:sz w:val="22"/>
          <w:szCs w:val="22"/>
          <w:lang w:val="en-GB" w:bidi="ar-SA"/>
        </w:rPr>
        <w:t xml:space="preserve"> – with Mortgage Credit productivity up 74%, and Settlements productivity improving 109% over 2 years</w:t>
      </w:r>
    </w:p>
    <w:p w14:paraId="38B8F6DE" w14:textId="77777777" w:rsidR="006E62ED"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AE38003" w14:textId="0FEC5F06" w:rsidR="006E62ED" w:rsidRPr="007033F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 xml:space="preserve">Asset Finance is seeing similar productivity gains with Credit up 3% </w:t>
      </w:r>
      <w:r w:rsidR="00267917">
        <w:rPr>
          <w:rFonts w:ascii="Brandon Grotesque Regular" w:eastAsiaTheme="minorEastAsia" w:hAnsi="Brandon Grotesque Regular" w:cstheme="minorHAnsi"/>
          <w:color w:val="000000" w:themeColor="text1"/>
          <w:sz w:val="22"/>
          <w:szCs w:val="22"/>
          <w:lang w:val="en-GB" w:bidi="ar-SA"/>
        </w:rPr>
        <w:t>on</w:t>
      </w:r>
      <w:r>
        <w:rPr>
          <w:rFonts w:ascii="Brandon Grotesque Regular" w:eastAsiaTheme="minorEastAsia" w:hAnsi="Brandon Grotesque Regular" w:cstheme="minorHAnsi"/>
          <w:color w:val="000000" w:themeColor="text1"/>
          <w:sz w:val="22"/>
          <w:szCs w:val="22"/>
          <w:lang w:val="en-GB" w:bidi="ar-SA"/>
        </w:rPr>
        <w:t xml:space="preserve"> Settlement efficiency improving 16% over the same period.  </w:t>
      </w:r>
      <w:r w:rsidRPr="007033F4">
        <w:rPr>
          <w:rFonts w:ascii="Brandon Grotesque Regular" w:eastAsiaTheme="minorEastAsia" w:hAnsi="Brandon Grotesque Regular" w:cstheme="minorHAnsi"/>
          <w:color w:val="000000" w:themeColor="text1"/>
          <w:sz w:val="22"/>
          <w:szCs w:val="22"/>
          <w:lang w:val="en-GB" w:bidi="ar-SA"/>
        </w:rPr>
        <w:t xml:space="preserve">Our Solana originations platform continues to support our partners and customers alike. Automation and API connection direct to our partner’s CRMs has delivered auto approvals for over 57% of Tier A customers and greater than 73% for Novated Lease customers over </w:t>
      </w:r>
      <w:r>
        <w:rPr>
          <w:rFonts w:ascii="Brandon Grotesque Regular" w:eastAsiaTheme="minorEastAsia" w:hAnsi="Brandon Grotesque Regular" w:cstheme="minorHAnsi"/>
          <w:color w:val="000000" w:themeColor="text1"/>
          <w:sz w:val="22"/>
          <w:szCs w:val="22"/>
          <w:lang w:val="en-GB" w:bidi="ar-SA"/>
        </w:rPr>
        <w:t xml:space="preserve">the first half of </w:t>
      </w:r>
      <w:r w:rsidRPr="007033F4">
        <w:rPr>
          <w:rFonts w:ascii="Brandon Grotesque Regular" w:eastAsiaTheme="minorEastAsia" w:hAnsi="Brandon Grotesque Regular" w:cstheme="minorHAnsi"/>
          <w:color w:val="000000" w:themeColor="text1"/>
          <w:sz w:val="22"/>
          <w:szCs w:val="22"/>
          <w:lang w:val="en-GB" w:bidi="ar-SA"/>
        </w:rPr>
        <w:t xml:space="preserve">2025.  Our “speed to yes” is a key driver of customer and partner satisfaction and is strengthened further by our ability to provide “real time payments” – an area where we lead versus the competition.  </w:t>
      </w:r>
    </w:p>
    <w:p w14:paraId="74B2B300" w14:textId="77777777" w:rsidR="006E62ED" w:rsidRPr="00812223"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068A04E2" w14:textId="77777777" w:rsidR="006E62ED" w:rsidRPr="00812223"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812223">
        <w:rPr>
          <w:rFonts w:ascii="Brandon Grotesque Regular" w:eastAsiaTheme="minorEastAsia" w:hAnsi="Brandon Grotesque Regular" w:cstheme="minorHAnsi"/>
          <w:color w:val="000000" w:themeColor="text1"/>
          <w:sz w:val="22"/>
          <w:szCs w:val="22"/>
          <w:lang w:val="en-GB" w:bidi="ar-SA"/>
        </w:rPr>
        <w:t>Our servicing platform, Apollo, continued to deliver enhanced customer self-help options and materially reduce customer effort post settlement</w:t>
      </w:r>
      <w:r>
        <w:rPr>
          <w:rFonts w:ascii="Brandon Grotesque Regular" w:eastAsiaTheme="minorEastAsia" w:hAnsi="Brandon Grotesque Regular" w:cstheme="minorHAnsi"/>
          <w:color w:val="000000" w:themeColor="text1"/>
          <w:sz w:val="22"/>
          <w:szCs w:val="22"/>
          <w:lang w:val="en-GB" w:bidi="ar-SA"/>
        </w:rPr>
        <w:t xml:space="preserve"> – as well as reducing our cost to serve.   Servicing productivity has grown 33% from the first half of 2023. </w:t>
      </w:r>
    </w:p>
    <w:p w14:paraId="77EA0B92" w14:textId="77777777" w:rsidR="006E62ED"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68CAC617" w14:textId="77777777" w:rsidR="006E62ED" w:rsidRPr="00812223"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812223">
        <w:rPr>
          <w:rFonts w:ascii="Brandon Grotesque Regular" w:eastAsiaTheme="minorEastAsia" w:hAnsi="Brandon Grotesque Regular" w:cstheme="minorHAnsi"/>
          <w:color w:val="000000" w:themeColor="text1"/>
          <w:sz w:val="22"/>
          <w:szCs w:val="22"/>
          <w:lang w:val="en-GB" w:bidi="ar-SA"/>
        </w:rPr>
        <w:t>We continue to leverage our technology stack, creating capacity and efficiencies to accommodate future growth. We are listening to our customers and partners - designing solutions to give them more ways to engage and interact with us</w:t>
      </w:r>
      <w:r>
        <w:rPr>
          <w:rFonts w:ascii="Brandon Grotesque Regular" w:eastAsiaTheme="minorEastAsia" w:hAnsi="Brandon Grotesque Regular" w:cstheme="minorHAnsi"/>
          <w:color w:val="000000" w:themeColor="text1"/>
          <w:sz w:val="22"/>
          <w:szCs w:val="22"/>
          <w:lang w:val="en-GB" w:bidi="ar-SA"/>
        </w:rPr>
        <w:t>.</w:t>
      </w:r>
    </w:p>
    <w:p w14:paraId="461E497B" w14:textId="77777777" w:rsidR="006E62ED" w:rsidRDefault="006E62ED" w:rsidP="00F408E1">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12F5C775" w14:textId="06642C49" w:rsidR="006E62ED" w:rsidRPr="007033F4" w:rsidRDefault="006E62ED"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7033F4">
        <w:rPr>
          <w:rFonts w:ascii="Brandon Grotesque Regular" w:eastAsiaTheme="minorEastAsia" w:hAnsi="Brandon Grotesque Regular" w:cstheme="minorHAnsi"/>
          <w:color w:val="000000" w:themeColor="text1"/>
          <w:sz w:val="22"/>
          <w:szCs w:val="22"/>
          <w:lang w:val="en-GB" w:bidi="ar-SA"/>
        </w:rPr>
        <w:t xml:space="preserve">I will </w:t>
      </w:r>
      <w:r w:rsidR="00267917">
        <w:rPr>
          <w:rFonts w:ascii="Brandon Grotesque Regular" w:eastAsiaTheme="minorEastAsia" w:hAnsi="Brandon Grotesque Regular" w:cstheme="minorHAnsi"/>
          <w:color w:val="000000" w:themeColor="text1"/>
          <w:sz w:val="22"/>
          <w:szCs w:val="22"/>
          <w:lang w:val="en-GB" w:bidi="ar-SA"/>
        </w:rPr>
        <w:t xml:space="preserve">now </w:t>
      </w:r>
      <w:r w:rsidRPr="007033F4">
        <w:rPr>
          <w:rFonts w:ascii="Brandon Grotesque Regular" w:eastAsiaTheme="minorEastAsia" w:hAnsi="Brandon Grotesque Regular" w:cstheme="minorHAnsi"/>
          <w:color w:val="000000" w:themeColor="text1"/>
          <w:sz w:val="22"/>
          <w:szCs w:val="22"/>
          <w:lang w:val="en-GB" w:bidi="ar-SA"/>
        </w:rPr>
        <w:t>hand over to Therese to run through the financials, after which I will make some closing comments before opening to questions.</w:t>
      </w:r>
    </w:p>
    <w:p w14:paraId="0D57DC44" w14:textId="77777777" w:rsidR="00F408E1" w:rsidRDefault="00F408E1"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p>
    <w:p w14:paraId="0EF4F264" w14:textId="6670B836" w:rsidR="003B77CE" w:rsidRPr="00F408E1" w:rsidRDefault="00BE3CCB"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 xml:space="preserve">slide number </w:t>
      </w:r>
      <w:r w:rsidR="002E7A10" w:rsidRPr="00F408E1">
        <w:rPr>
          <w:rFonts w:ascii="Brandon Grotesque Regular" w:eastAsiaTheme="minorEastAsia" w:hAnsi="Brandon Grotesque Regular" w:cstheme="minorHAnsi"/>
          <w:b/>
          <w:bCs/>
          <w:caps/>
          <w:color w:val="002060"/>
          <w:spacing w:val="80"/>
          <w:sz w:val="20"/>
          <w:szCs w:val="20"/>
          <w:lang w:val="en-GB" w:bidi="ar-SA"/>
        </w:rPr>
        <w:t>11</w:t>
      </w:r>
    </w:p>
    <w:p w14:paraId="011C7927" w14:textId="36DD26F8" w:rsidR="00D40EFF" w:rsidRPr="00D40EFF" w:rsidRDefault="00D40EFF"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B727ADA" w14:textId="76D49E91" w:rsidR="00D40EFF" w:rsidRPr="00D40EFF" w:rsidRDefault="00D40EFF"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D40EFF">
        <w:rPr>
          <w:rFonts w:ascii="Brandon Grotesque Regular" w:eastAsiaTheme="minorEastAsia" w:hAnsi="Brandon Grotesque Regular" w:cstheme="minorHAnsi"/>
          <w:color w:val="000000" w:themeColor="text1"/>
          <w:sz w:val="22"/>
          <w:szCs w:val="22"/>
          <w:lang w:val="en-GB" w:bidi="ar-SA"/>
        </w:rPr>
        <w:t>Thank you, Mario, and good morning, everyone.</w:t>
      </w:r>
    </w:p>
    <w:p w14:paraId="61DFCA5F" w14:textId="77777777" w:rsidR="00D40EFF" w:rsidRPr="00D40EFF" w:rsidRDefault="00D40EFF"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p w14:paraId="61637BCC" w14:textId="1A6051DC" w:rsidR="00D40EFF" w:rsidRPr="00D40EFF" w:rsidRDefault="00D40EFF"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D40EFF">
        <w:rPr>
          <w:rFonts w:ascii="Brandon Grotesque Regular" w:eastAsiaTheme="minorEastAsia" w:hAnsi="Brandon Grotesque Regular" w:cstheme="minorHAnsi"/>
          <w:color w:val="000000" w:themeColor="text1"/>
          <w:sz w:val="22"/>
          <w:szCs w:val="22"/>
          <w:lang w:val="en-GB" w:bidi="ar-SA"/>
        </w:rPr>
        <w:t>Slide 1</w:t>
      </w:r>
      <w:r>
        <w:rPr>
          <w:rFonts w:ascii="Brandon Grotesque Regular" w:eastAsiaTheme="minorEastAsia" w:hAnsi="Brandon Grotesque Regular" w:cstheme="minorHAnsi"/>
          <w:color w:val="000000" w:themeColor="text1"/>
          <w:sz w:val="22"/>
          <w:szCs w:val="22"/>
          <w:lang w:val="en-GB" w:bidi="ar-SA"/>
        </w:rPr>
        <w:t>1</w:t>
      </w:r>
      <w:r w:rsidRPr="00D40EFF">
        <w:rPr>
          <w:rFonts w:ascii="Brandon Grotesque Regular" w:eastAsiaTheme="minorEastAsia" w:hAnsi="Brandon Grotesque Regular" w:cstheme="minorHAnsi"/>
          <w:color w:val="000000" w:themeColor="text1"/>
          <w:sz w:val="22"/>
          <w:szCs w:val="22"/>
          <w:lang w:val="en-GB" w:bidi="ar-SA"/>
        </w:rPr>
        <w:t xml:space="preserve"> provides the summary of the key financial measures of our business.  As Mario has covered volume in detail, today I will on focus on Net Interest Margin, Credit performance, Expense management and returns.</w:t>
      </w:r>
    </w:p>
    <w:p w14:paraId="4091206B" w14:textId="77777777" w:rsidR="00D40EFF" w:rsidRPr="00F408E1" w:rsidRDefault="00D40EFF"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p w14:paraId="1A958483" w14:textId="3588B20B" w:rsidR="00D40EFF" w:rsidRPr="00F408E1" w:rsidRDefault="00D40EFF"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Turning to Net Interest Margin, on</w:t>
      </w:r>
      <w:r w:rsidR="00814B65" w:rsidRPr="00F408E1">
        <w:rPr>
          <w:rFonts w:ascii="Brandon Grotesque Regular" w:eastAsiaTheme="minorEastAsia" w:hAnsi="Brandon Grotesque Regular" w:cstheme="minorHAnsi"/>
          <w:color w:val="000000" w:themeColor="text1"/>
          <w:sz w:val="22"/>
          <w:szCs w:val="22"/>
          <w:lang w:val="en-GB" w:bidi="ar-SA"/>
        </w:rPr>
        <w:t xml:space="preserve"> s</w:t>
      </w:r>
      <w:r w:rsidRPr="00F408E1">
        <w:rPr>
          <w:rFonts w:ascii="Brandon Grotesque Regular" w:eastAsiaTheme="minorEastAsia" w:hAnsi="Brandon Grotesque Regular" w:cstheme="minorHAnsi"/>
          <w:color w:val="000000" w:themeColor="text1"/>
          <w:sz w:val="22"/>
          <w:szCs w:val="22"/>
          <w:lang w:val="en-GB" w:bidi="ar-SA"/>
        </w:rPr>
        <w:t>lide 1</w:t>
      </w:r>
      <w:r w:rsidR="00B34EA2" w:rsidRPr="00F408E1">
        <w:rPr>
          <w:rFonts w:ascii="Brandon Grotesque Regular" w:eastAsiaTheme="minorEastAsia" w:hAnsi="Brandon Grotesque Regular" w:cstheme="minorHAnsi"/>
          <w:color w:val="000000" w:themeColor="text1"/>
          <w:sz w:val="22"/>
          <w:szCs w:val="22"/>
          <w:lang w:val="en-GB" w:bidi="ar-SA"/>
        </w:rPr>
        <w:t>2.</w:t>
      </w:r>
    </w:p>
    <w:p w14:paraId="603BEB2E" w14:textId="77777777" w:rsidR="00F408E1" w:rsidRPr="00A03679" w:rsidRDefault="00F408E1" w:rsidP="00F408E1">
      <w:pPr>
        <w:pStyle w:val="ListParagraph"/>
        <w:spacing w:after="0" w:line="240" w:lineRule="auto"/>
        <w:ind w:left="284"/>
        <w:jc w:val="center"/>
        <w:rPr>
          <w:rFonts w:ascii="Brandon Grotesque Regular" w:eastAsiaTheme="minorEastAsia" w:hAnsi="Brandon Grotesque Regular" w:cstheme="minorHAnsi"/>
          <w:color w:val="000000" w:themeColor="text1"/>
          <w:sz w:val="20"/>
          <w:szCs w:val="20"/>
          <w:highlight w:val="yellow"/>
          <w:lang w:val="en-GB" w:bidi="ar-SA"/>
        </w:rPr>
      </w:pPr>
    </w:p>
    <w:p w14:paraId="6A7BC52E" w14:textId="77777777" w:rsidR="00F408E1" w:rsidRDefault="00F408E1">
      <w:pPr>
        <w:rPr>
          <w:rFonts w:ascii="Brandon Grotesque Regular" w:eastAsiaTheme="minorEastAsia" w:hAnsi="Brandon Grotesque Regular" w:cstheme="minorHAnsi"/>
          <w:b/>
          <w:bCs/>
          <w:caps/>
          <w:color w:val="002060"/>
          <w:spacing w:val="80"/>
          <w:sz w:val="20"/>
          <w:szCs w:val="20"/>
          <w:lang w:val="en-GB" w:bidi="ar-SA"/>
        </w:rPr>
      </w:pPr>
      <w:r>
        <w:rPr>
          <w:rFonts w:ascii="Brandon Grotesque Regular" w:eastAsiaTheme="minorEastAsia" w:hAnsi="Brandon Grotesque Regular" w:cstheme="minorHAnsi"/>
          <w:b/>
          <w:bCs/>
          <w:caps/>
          <w:color w:val="002060"/>
          <w:spacing w:val="80"/>
          <w:sz w:val="20"/>
          <w:szCs w:val="20"/>
          <w:lang w:val="en-GB" w:bidi="ar-SA"/>
        </w:rPr>
        <w:br w:type="page"/>
      </w:r>
    </w:p>
    <w:p w14:paraId="6F7A8693" w14:textId="542354DF" w:rsidR="00253198" w:rsidRPr="00F408E1" w:rsidRDefault="00253198"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lastRenderedPageBreak/>
        <w:t>slide number 12</w:t>
      </w:r>
    </w:p>
    <w:p w14:paraId="02961EAC" w14:textId="77777777" w:rsidR="00F408E1" w:rsidRDefault="00F408E1"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13C6A54F" w14:textId="75BA2E7B" w:rsidR="00B45C65" w:rsidRPr="009D057E" w:rsidRDefault="00B45C65"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D057E">
        <w:rPr>
          <w:rFonts w:ascii="Brandon Grotesque Regular" w:eastAsiaTheme="minorEastAsia" w:hAnsi="Brandon Grotesque Regular" w:cstheme="minorHAnsi"/>
          <w:color w:val="000000" w:themeColor="text1"/>
          <w:sz w:val="22"/>
          <w:szCs w:val="22"/>
          <w:lang w:val="en-GB" w:bidi="ar-SA"/>
        </w:rPr>
        <w:t>Following the volatility seen in recent years, Net Interest Margin performance is stabilising</w:t>
      </w:r>
      <w:r w:rsidR="001F7321">
        <w:rPr>
          <w:rFonts w:ascii="Brandon Grotesque Regular" w:eastAsiaTheme="minorEastAsia" w:hAnsi="Brandon Grotesque Regular" w:cstheme="minorHAnsi"/>
          <w:color w:val="000000" w:themeColor="text1"/>
          <w:sz w:val="22"/>
          <w:szCs w:val="22"/>
          <w:lang w:val="en-GB" w:bidi="ar-SA"/>
        </w:rPr>
        <w:t xml:space="preserve">. </w:t>
      </w:r>
      <w:r w:rsidRPr="009D057E">
        <w:rPr>
          <w:rFonts w:ascii="Brandon Grotesque Regular" w:eastAsiaTheme="minorEastAsia" w:hAnsi="Brandon Grotesque Regular" w:cstheme="minorHAnsi"/>
          <w:color w:val="000000" w:themeColor="text1"/>
          <w:sz w:val="22"/>
          <w:szCs w:val="22"/>
          <w:lang w:val="en-GB" w:bidi="ar-SA"/>
        </w:rPr>
        <w:t>NIM for the</w:t>
      </w:r>
      <w:r w:rsidR="00E62C71">
        <w:rPr>
          <w:rFonts w:ascii="Brandon Grotesque Regular" w:eastAsiaTheme="minorEastAsia" w:hAnsi="Brandon Grotesque Regular" w:cstheme="minorHAnsi"/>
          <w:color w:val="000000" w:themeColor="text1"/>
          <w:sz w:val="22"/>
          <w:szCs w:val="22"/>
          <w:lang w:val="en-GB" w:bidi="ar-SA"/>
        </w:rPr>
        <w:t xml:space="preserve"> first</w:t>
      </w:r>
      <w:r w:rsidRPr="009D057E">
        <w:rPr>
          <w:rFonts w:ascii="Brandon Grotesque Regular" w:eastAsiaTheme="minorEastAsia" w:hAnsi="Brandon Grotesque Regular" w:cstheme="minorHAnsi"/>
          <w:color w:val="000000" w:themeColor="text1"/>
          <w:sz w:val="22"/>
          <w:szCs w:val="22"/>
          <w:lang w:val="en-GB" w:bidi="ar-SA"/>
        </w:rPr>
        <w:t xml:space="preserve"> half </w:t>
      </w:r>
      <w:r w:rsidR="00E62C71">
        <w:rPr>
          <w:rFonts w:ascii="Brandon Grotesque Regular" w:eastAsiaTheme="minorEastAsia" w:hAnsi="Brandon Grotesque Regular" w:cstheme="minorHAnsi"/>
          <w:color w:val="000000" w:themeColor="text1"/>
          <w:sz w:val="22"/>
          <w:szCs w:val="22"/>
          <w:lang w:val="en-GB" w:bidi="ar-SA"/>
        </w:rPr>
        <w:t xml:space="preserve">of </w:t>
      </w:r>
      <w:r w:rsidRPr="009D057E">
        <w:rPr>
          <w:rFonts w:ascii="Brandon Grotesque Regular" w:eastAsiaTheme="minorEastAsia" w:hAnsi="Brandon Grotesque Regular" w:cstheme="minorHAnsi"/>
          <w:color w:val="000000" w:themeColor="text1"/>
          <w:sz w:val="22"/>
          <w:szCs w:val="22"/>
          <w:lang w:val="en-GB" w:bidi="ar-SA"/>
        </w:rPr>
        <w:t>2025 at 1.98</w:t>
      </w:r>
      <w:r w:rsidR="00E62C71">
        <w:rPr>
          <w:rFonts w:ascii="Brandon Grotesque Regular" w:eastAsiaTheme="minorEastAsia" w:hAnsi="Brandon Grotesque Regular" w:cstheme="minorHAnsi"/>
          <w:color w:val="000000" w:themeColor="text1"/>
          <w:sz w:val="22"/>
          <w:szCs w:val="22"/>
          <w:lang w:val="en-GB" w:bidi="ar-SA"/>
        </w:rPr>
        <w:t>%</w:t>
      </w:r>
      <w:r w:rsidR="007C6DAF">
        <w:rPr>
          <w:rFonts w:ascii="Brandon Grotesque Regular" w:eastAsiaTheme="minorEastAsia" w:hAnsi="Brandon Grotesque Regular" w:cstheme="minorHAnsi"/>
          <w:color w:val="000000" w:themeColor="text1"/>
          <w:sz w:val="22"/>
          <w:szCs w:val="22"/>
          <w:lang w:val="en-GB" w:bidi="ar-SA"/>
        </w:rPr>
        <w:t xml:space="preserve"> </w:t>
      </w:r>
      <w:r w:rsidRPr="009D057E">
        <w:rPr>
          <w:rFonts w:ascii="Brandon Grotesque Regular" w:eastAsiaTheme="minorEastAsia" w:hAnsi="Brandon Grotesque Regular" w:cstheme="minorHAnsi"/>
          <w:color w:val="000000" w:themeColor="text1"/>
          <w:sz w:val="22"/>
          <w:szCs w:val="22"/>
          <w:lang w:val="en-GB" w:bidi="ar-SA"/>
        </w:rPr>
        <w:t xml:space="preserve">improved 6 basis points on </w:t>
      </w:r>
      <w:r w:rsidR="00E62C71">
        <w:rPr>
          <w:rFonts w:ascii="Brandon Grotesque Regular" w:eastAsiaTheme="minorEastAsia" w:hAnsi="Brandon Grotesque Regular" w:cstheme="minorHAnsi"/>
          <w:color w:val="000000" w:themeColor="text1"/>
          <w:sz w:val="22"/>
          <w:szCs w:val="22"/>
          <w:lang w:val="en-GB" w:bidi="ar-SA"/>
        </w:rPr>
        <w:t xml:space="preserve">PCP </w:t>
      </w:r>
      <w:r w:rsidR="00E15469" w:rsidRPr="009D057E">
        <w:rPr>
          <w:rFonts w:ascii="Brandon Grotesque Regular" w:eastAsiaTheme="minorEastAsia" w:hAnsi="Brandon Grotesque Regular" w:cstheme="minorHAnsi"/>
          <w:color w:val="000000" w:themeColor="text1"/>
          <w:sz w:val="22"/>
          <w:szCs w:val="22"/>
          <w:lang w:val="en-GB" w:bidi="ar-SA"/>
        </w:rPr>
        <w:t>but</w:t>
      </w:r>
      <w:r w:rsidR="000C0C8C" w:rsidRPr="009D057E">
        <w:rPr>
          <w:rFonts w:ascii="Brandon Grotesque Regular" w:eastAsiaTheme="minorEastAsia" w:hAnsi="Brandon Grotesque Regular" w:cstheme="minorHAnsi"/>
          <w:color w:val="000000" w:themeColor="text1"/>
          <w:sz w:val="22"/>
          <w:szCs w:val="22"/>
          <w:lang w:val="en-GB" w:bidi="ar-SA"/>
        </w:rPr>
        <w:t xml:space="preserve"> was down (5) basis points </w:t>
      </w:r>
      <w:r w:rsidR="00E62C71">
        <w:rPr>
          <w:rFonts w:ascii="Brandon Grotesque Regular" w:eastAsiaTheme="minorEastAsia" w:hAnsi="Brandon Grotesque Regular" w:cstheme="minorHAnsi"/>
          <w:color w:val="000000" w:themeColor="text1"/>
          <w:sz w:val="22"/>
          <w:szCs w:val="22"/>
          <w:lang w:val="en-GB" w:bidi="ar-SA"/>
        </w:rPr>
        <w:t xml:space="preserve">on </w:t>
      </w:r>
      <w:r w:rsidR="00DB33EB">
        <w:rPr>
          <w:rFonts w:ascii="Brandon Grotesque Regular" w:eastAsiaTheme="minorEastAsia" w:hAnsi="Brandon Grotesque Regular" w:cstheme="minorHAnsi"/>
          <w:color w:val="000000" w:themeColor="text1"/>
          <w:sz w:val="22"/>
          <w:szCs w:val="22"/>
          <w:lang w:val="en-GB" w:bidi="ar-SA"/>
        </w:rPr>
        <w:t xml:space="preserve">the </w:t>
      </w:r>
      <w:r w:rsidR="00E62C71">
        <w:rPr>
          <w:rFonts w:ascii="Brandon Grotesque Regular" w:eastAsiaTheme="minorEastAsia" w:hAnsi="Brandon Grotesque Regular" w:cstheme="minorHAnsi"/>
          <w:color w:val="000000" w:themeColor="text1"/>
          <w:sz w:val="22"/>
          <w:szCs w:val="22"/>
          <w:lang w:val="en-GB" w:bidi="ar-SA"/>
        </w:rPr>
        <w:t>second</w:t>
      </w:r>
      <w:r w:rsidR="000C0C8C" w:rsidRPr="009D057E">
        <w:rPr>
          <w:rFonts w:ascii="Brandon Grotesque Regular" w:eastAsiaTheme="minorEastAsia" w:hAnsi="Brandon Grotesque Regular" w:cstheme="minorHAnsi"/>
          <w:color w:val="000000" w:themeColor="text1"/>
          <w:sz w:val="22"/>
          <w:szCs w:val="22"/>
          <w:lang w:val="en-GB" w:bidi="ar-SA"/>
        </w:rPr>
        <w:t xml:space="preserve"> half </w:t>
      </w:r>
      <w:r w:rsidR="00DB33EB">
        <w:rPr>
          <w:rFonts w:ascii="Brandon Grotesque Regular" w:eastAsiaTheme="minorEastAsia" w:hAnsi="Brandon Grotesque Regular" w:cstheme="minorHAnsi"/>
          <w:color w:val="000000" w:themeColor="text1"/>
          <w:sz w:val="22"/>
          <w:szCs w:val="22"/>
          <w:lang w:val="en-GB" w:bidi="ar-SA"/>
        </w:rPr>
        <w:t xml:space="preserve">of </w:t>
      </w:r>
      <w:proofErr w:type="gramStart"/>
      <w:r w:rsidR="000C0C8C" w:rsidRPr="009D057E">
        <w:rPr>
          <w:rFonts w:ascii="Brandon Grotesque Regular" w:eastAsiaTheme="minorEastAsia" w:hAnsi="Brandon Grotesque Regular" w:cstheme="minorHAnsi"/>
          <w:color w:val="000000" w:themeColor="text1"/>
          <w:sz w:val="22"/>
          <w:szCs w:val="22"/>
          <w:lang w:val="en-GB" w:bidi="ar-SA"/>
        </w:rPr>
        <w:t xml:space="preserve">2024 </w:t>
      </w:r>
      <w:r w:rsidR="001303AF">
        <w:rPr>
          <w:rFonts w:ascii="Brandon Grotesque Regular" w:eastAsiaTheme="minorEastAsia" w:hAnsi="Brandon Grotesque Regular" w:cstheme="minorHAnsi"/>
          <w:color w:val="000000" w:themeColor="text1"/>
          <w:sz w:val="22"/>
          <w:szCs w:val="22"/>
          <w:lang w:val="en-GB" w:bidi="ar-SA"/>
        </w:rPr>
        <w:t xml:space="preserve"> -</w:t>
      </w:r>
      <w:proofErr w:type="gramEnd"/>
      <w:r w:rsidR="001303AF">
        <w:rPr>
          <w:rFonts w:ascii="Brandon Grotesque Regular" w:eastAsiaTheme="minorEastAsia" w:hAnsi="Brandon Grotesque Regular" w:cstheme="minorHAnsi"/>
          <w:color w:val="000000" w:themeColor="text1"/>
          <w:sz w:val="22"/>
          <w:szCs w:val="22"/>
          <w:lang w:val="en-GB" w:bidi="ar-SA"/>
        </w:rPr>
        <w:t xml:space="preserve"> due to the mix impact from </w:t>
      </w:r>
      <w:r w:rsidR="000C0C8C" w:rsidRPr="009D057E">
        <w:rPr>
          <w:rFonts w:ascii="Brandon Grotesque Regular" w:eastAsiaTheme="minorEastAsia" w:hAnsi="Brandon Grotesque Regular" w:cstheme="minorHAnsi"/>
          <w:color w:val="000000" w:themeColor="text1"/>
          <w:sz w:val="22"/>
          <w:szCs w:val="22"/>
          <w:lang w:val="en-GB" w:bidi="ar-SA"/>
        </w:rPr>
        <w:t xml:space="preserve">the accelerated growth in Prime Mortgage Originations. </w:t>
      </w:r>
      <w:r w:rsidRPr="009D057E">
        <w:rPr>
          <w:rFonts w:ascii="Brandon Grotesque Regular" w:eastAsiaTheme="minorEastAsia" w:hAnsi="Brandon Grotesque Regular" w:cstheme="minorHAnsi"/>
          <w:color w:val="000000" w:themeColor="text1"/>
          <w:sz w:val="22"/>
          <w:szCs w:val="22"/>
          <w:lang w:val="en-GB" w:bidi="ar-SA"/>
        </w:rPr>
        <w:t xml:space="preserve"> </w:t>
      </w:r>
    </w:p>
    <w:p w14:paraId="46C070FC" w14:textId="77777777" w:rsidR="00B45C65" w:rsidRPr="009D057E" w:rsidRDefault="00B45C65"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p w14:paraId="5FBB509B" w14:textId="6792CE98" w:rsidR="00B45C65" w:rsidRPr="009D057E" w:rsidRDefault="00B45C65"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9D057E">
        <w:rPr>
          <w:rFonts w:ascii="Brandon Grotesque Regular" w:eastAsiaTheme="minorEastAsia" w:hAnsi="Brandon Grotesque Regular" w:cstheme="minorHAnsi"/>
          <w:color w:val="000000" w:themeColor="text1"/>
          <w:sz w:val="22"/>
          <w:szCs w:val="22"/>
          <w:lang w:val="en-GB" w:bidi="ar-SA"/>
        </w:rPr>
        <w:t>The improvement</w:t>
      </w:r>
      <w:r w:rsidR="000C0C8C" w:rsidRPr="009D057E">
        <w:rPr>
          <w:rFonts w:ascii="Brandon Grotesque Regular" w:eastAsiaTheme="minorEastAsia" w:hAnsi="Brandon Grotesque Regular" w:cstheme="minorHAnsi"/>
          <w:color w:val="000000" w:themeColor="text1"/>
          <w:sz w:val="22"/>
          <w:szCs w:val="22"/>
          <w:lang w:val="en-GB" w:bidi="ar-SA"/>
        </w:rPr>
        <w:t>, versus</w:t>
      </w:r>
      <w:r w:rsidR="005C7AEB">
        <w:rPr>
          <w:rFonts w:ascii="Brandon Grotesque Regular" w:eastAsiaTheme="minorEastAsia" w:hAnsi="Brandon Grotesque Regular" w:cstheme="minorHAnsi"/>
          <w:color w:val="000000" w:themeColor="text1"/>
          <w:sz w:val="22"/>
          <w:szCs w:val="22"/>
          <w:lang w:val="en-GB" w:bidi="ar-SA"/>
        </w:rPr>
        <w:t xml:space="preserve"> the first</w:t>
      </w:r>
      <w:r w:rsidR="000C0C8C" w:rsidRPr="009D057E">
        <w:rPr>
          <w:rFonts w:ascii="Brandon Grotesque Regular" w:eastAsiaTheme="minorEastAsia" w:hAnsi="Brandon Grotesque Regular" w:cstheme="minorHAnsi"/>
          <w:color w:val="000000" w:themeColor="text1"/>
          <w:sz w:val="22"/>
          <w:szCs w:val="22"/>
          <w:lang w:val="en-GB" w:bidi="ar-SA"/>
        </w:rPr>
        <w:t xml:space="preserve"> half</w:t>
      </w:r>
      <w:r w:rsidR="005C7AEB">
        <w:rPr>
          <w:rFonts w:ascii="Brandon Grotesque Regular" w:eastAsiaTheme="minorEastAsia" w:hAnsi="Brandon Grotesque Regular" w:cstheme="minorHAnsi"/>
          <w:color w:val="000000" w:themeColor="text1"/>
          <w:sz w:val="22"/>
          <w:szCs w:val="22"/>
          <w:lang w:val="en-GB" w:bidi="ar-SA"/>
        </w:rPr>
        <w:t xml:space="preserve"> of </w:t>
      </w:r>
      <w:r w:rsidR="000C0C8C" w:rsidRPr="009D057E">
        <w:rPr>
          <w:rFonts w:ascii="Brandon Grotesque Regular" w:eastAsiaTheme="minorEastAsia" w:hAnsi="Brandon Grotesque Regular" w:cstheme="minorHAnsi"/>
          <w:color w:val="000000" w:themeColor="text1"/>
          <w:sz w:val="22"/>
          <w:szCs w:val="22"/>
          <w:lang w:val="en-GB" w:bidi="ar-SA"/>
        </w:rPr>
        <w:t>2024,</w:t>
      </w:r>
      <w:r w:rsidRPr="009D057E">
        <w:rPr>
          <w:rFonts w:ascii="Brandon Grotesque Regular" w:eastAsiaTheme="minorEastAsia" w:hAnsi="Brandon Grotesque Regular" w:cstheme="minorHAnsi"/>
          <w:color w:val="000000" w:themeColor="text1"/>
          <w:sz w:val="22"/>
          <w:szCs w:val="22"/>
          <w:lang w:val="en-GB" w:bidi="ar-SA"/>
        </w:rPr>
        <w:t xml:space="preserve"> in Net Interest Margin was delivered by:</w:t>
      </w:r>
    </w:p>
    <w:p w14:paraId="080A9C55" w14:textId="781F91E8" w:rsidR="000C0C8C" w:rsidRPr="009D057E" w:rsidRDefault="000C0C8C"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D057E">
        <w:rPr>
          <w:rFonts w:ascii="Brandon Grotesque Regular" w:eastAsiaTheme="minorEastAsia" w:hAnsi="Brandon Grotesque Regular" w:cstheme="minorHAnsi"/>
          <w:color w:val="000000" w:themeColor="text1"/>
          <w:sz w:val="22"/>
          <w:szCs w:val="22"/>
          <w:lang w:val="en-GB" w:bidi="ar-SA"/>
        </w:rPr>
        <w:t xml:space="preserve">the benefit of business diversification – given our scale in Asset Finance, where NIM </w:t>
      </w:r>
      <w:r w:rsidR="006B444F" w:rsidRPr="009D057E">
        <w:rPr>
          <w:rFonts w:ascii="Brandon Grotesque Regular" w:eastAsiaTheme="minorEastAsia" w:hAnsi="Brandon Grotesque Regular" w:cstheme="minorHAnsi"/>
          <w:color w:val="000000" w:themeColor="text1"/>
          <w:sz w:val="22"/>
          <w:szCs w:val="22"/>
          <w:lang w:val="en-GB" w:bidi="ar-SA"/>
        </w:rPr>
        <w:t xml:space="preserve">is </w:t>
      </w:r>
      <w:r w:rsidRPr="009D057E">
        <w:rPr>
          <w:rFonts w:ascii="Brandon Grotesque Regular" w:eastAsiaTheme="minorEastAsia" w:hAnsi="Brandon Grotesque Regular" w:cstheme="minorHAnsi"/>
          <w:color w:val="000000" w:themeColor="text1"/>
          <w:sz w:val="22"/>
          <w:szCs w:val="22"/>
          <w:lang w:val="en-GB" w:bidi="ar-SA"/>
        </w:rPr>
        <w:t>more than 100 basis points higher than Mortgages</w:t>
      </w:r>
      <w:r w:rsidR="001303AF">
        <w:rPr>
          <w:rFonts w:ascii="Brandon Grotesque Regular" w:eastAsiaTheme="minorEastAsia" w:hAnsi="Brandon Grotesque Regular" w:cstheme="minorHAnsi"/>
          <w:color w:val="000000" w:themeColor="text1"/>
          <w:sz w:val="22"/>
          <w:szCs w:val="22"/>
          <w:lang w:val="en-GB" w:bidi="ar-SA"/>
        </w:rPr>
        <w:t xml:space="preserve"> – </w:t>
      </w:r>
      <w:r w:rsidR="00B979DE">
        <w:rPr>
          <w:rFonts w:ascii="Brandon Grotesque Regular" w:eastAsiaTheme="minorEastAsia" w:hAnsi="Brandon Grotesque Regular" w:cstheme="minorHAnsi"/>
          <w:color w:val="000000" w:themeColor="text1"/>
          <w:sz w:val="22"/>
          <w:szCs w:val="22"/>
          <w:lang w:val="en-GB" w:bidi="ar-SA"/>
        </w:rPr>
        <w:t>it delivers</w:t>
      </w:r>
      <w:r w:rsidR="001303AF">
        <w:rPr>
          <w:rFonts w:ascii="Brandon Grotesque Regular" w:eastAsiaTheme="minorEastAsia" w:hAnsi="Brandon Grotesque Regular" w:cstheme="minorHAnsi"/>
          <w:color w:val="000000" w:themeColor="text1"/>
          <w:sz w:val="22"/>
          <w:szCs w:val="22"/>
          <w:lang w:val="en-GB" w:bidi="ar-SA"/>
        </w:rPr>
        <w:t xml:space="preserve"> </w:t>
      </w:r>
      <w:r w:rsidRPr="009D057E">
        <w:rPr>
          <w:rFonts w:ascii="Brandon Grotesque Regular" w:eastAsiaTheme="minorEastAsia" w:hAnsi="Brandon Grotesque Regular" w:cstheme="minorHAnsi"/>
          <w:color w:val="000000" w:themeColor="text1"/>
          <w:sz w:val="22"/>
          <w:szCs w:val="22"/>
          <w:lang w:val="en-GB" w:bidi="ar-SA"/>
        </w:rPr>
        <w:t>positive</w:t>
      </w:r>
      <w:r w:rsidR="001303AF">
        <w:rPr>
          <w:rFonts w:ascii="Brandon Grotesque Regular" w:eastAsiaTheme="minorEastAsia" w:hAnsi="Brandon Grotesque Regular" w:cstheme="minorHAnsi"/>
          <w:color w:val="000000" w:themeColor="text1"/>
          <w:sz w:val="22"/>
          <w:szCs w:val="22"/>
          <w:lang w:val="en-GB" w:bidi="ar-SA"/>
        </w:rPr>
        <w:t xml:space="preserve"> NIM impact through</w:t>
      </w:r>
      <w:r w:rsidRPr="009D057E">
        <w:rPr>
          <w:rFonts w:ascii="Brandon Grotesque Regular" w:eastAsiaTheme="minorEastAsia" w:hAnsi="Brandon Grotesque Regular" w:cstheme="minorHAnsi"/>
          <w:color w:val="000000" w:themeColor="text1"/>
          <w:sz w:val="22"/>
          <w:szCs w:val="22"/>
          <w:lang w:val="en-GB" w:bidi="ar-SA"/>
        </w:rPr>
        <w:t xml:space="preserve"> </w:t>
      </w:r>
      <w:proofErr w:type="gramStart"/>
      <w:r w:rsidRPr="009D057E">
        <w:rPr>
          <w:rFonts w:ascii="Brandon Grotesque Regular" w:eastAsiaTheme="minorEastAsia" w:hAnsi="Brandon Grotesque Regular" w:cstheme="minorHAnsi"/>
          <w:color w:val="000000" w:themeColor="text1"/>
          <w:sz w:val="22"/>
          <w:szCs w:val="22"/>
          <w:lang w:val="en-GB" w:bidi="ar-SA"/>
        </w:rPr>
        <w:t>mix</w:t>
      </w:r>
      <w:r w:rsidR="001303AF">
        <w:rPr>
          <w:rFonts w:ascii="Brandon Grotesque Regular" w:eastAsiaTheme="minorEastAsia" w:hAnsi="Brandon Grotesque Regular" w:cstheme="minorHAnsi"/>
          <w:color w:val="000000" w:themeColor="text1"/>
          <w:sz w:val="22"/>
          <w:szCs w:val="22"/>
          <w:lang w:val="en-GB" w:bidi="ar-SA"/>
        </w:rPr>
        <w:t>;</w:t>
      </w:r>
      <w:proofErr w:type="gramEnd"/>
    </w:p>
    <w:p w14:paraId="77E7ACD7" w14:textId="7536A975" w:rsidR="000C0C8C" w:rsidRPr="009D057E" w:rsidRDefault="00B979DE"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 xml:space="preserve">through </w:t>
      </w:r>
      <w:r w:rsidR="000C0C8C" w:rsidRPr="009D057E">
        <w:rPr>
          <w:rFonts w:ascii="Brandon Grotesque Regular" w:eastAsiaTheme="minorEastAsia" w:hAnsi="Brandon Grotesque Regular" w:cstheme="minorHAnsi"/>
          <w:color w:val="000000" w:themeColor="text1"/>
          <w:sz w:val="22"/>
          <w:szCs w:val="22"/>
          <w:lang w:val="en-GB" w:bidi="ar-SA"/>
        </w:rPr>
        <w:t>improved funding margins;</w:t>
      </w:r>
      <w:r w:rsidR="00E7281B">
        <w:rPr>
          <w:rFonts w:ascii="Brandon Grotesque Regular" w:eastAsiaTheme="minorEastAsia" w:hAnsi="Brandon Grotesque Regular" w:cstheme="minorHAnsi"/>
          <w:color w:val="000000" w:themeColor="text1"/>
          <w:sz w:val="22"/>
          <w:szCs w:val="22"/>
          <w:lang w:val="en-GB" w:bidi="ar-SA"/>
        </w:rPr>
        <w:t xml:space="preserve"> and</w:t>
      </w:r>
    </w:p>
    <w:p w14:paraId="79B72FE6" w14:textId="361C7992" w:rsidR="00B45C65" w:rsidRDefault="00B45C65"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D057E">
        <w:rPr>
          <w:rFonts w:ascii="Brandon Grotesque Regular" w:eastAsiaTheme="minorEastAsia" w:hAnsi="Brandon Grotesque Regular" w:cstheme="minorHAnsi"/>
          <w:color w:val="000000" w:themeColor="text1"/>
          <w:sz w:val="22"/>
          <w:szCs w:val="22"/>
          <w:lang w:val="en-GB" w:bidi="ar-SA"/>
        </w:rPr>
        <w:t>the stabilisation BBSW.</w:t>
      </w:r>
    </w:p>
    <w:p w14:paraId="43A2EACC" w14:textId="77777777" w:rsidR="00B979DE" w:rsidRPr="009D057E" w:rsidRDefault="00B979DE" w:rsidP="00F408E1">
      <w:pPr>
        <w:pStyle w:val="ListParagraph"/>
        <w:spacing w:after="0" w:line="240" w:lineRule="auto"/>
        <w:ind w:left="851"/>
        <w:rPr>
          <w:rFonts w:ascii="Brandon Grotesque Regular" w:eastAsiaTheme="minorEastAsia" w:hAnsi="Brandon Grotesque Regular" w:cstheme="minorHAnsi"/>
          <w:color w:val="000000" w:themeColor="text1"/>
          <w:sz w:val="22"/>
          <w:szCs w:val="22"/>
          <w:lang w:val="en-GB" w:bidi="ar-SA"/>
        </w:rPr>
      </w:pPr>
    </w:p>
    <w:p w14:paraId="2ECB483C" w14:textId="77777777" w:rsidR="00B45C65" w:rsidRPr="00B979DE" w:rsidRDefault="00B45C65"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Turning to Mortgages</w:t>
      </w:r>
    </w:p>
    <w:p w14:paraId="7A66A2C6" w14:textId="23CABA55" w:rsidR="000C0C8C" w:rsidRPr="00B979DE" w:rsidRDefault="000C0C8C"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Mortgage NIM, at 1.51%, experienced a (9) basis points compression </w:t>
      </w:r>
      <w:r w:rsidR="00194143" w:rsidRPr="00B979DE">
        <w:rPr>
          <w:rFonts w:ascii="Brandon Grotesque Regular" w:eastAsiaTheme="minorEastAsia" w:hAnsi="Brandon Grotesque Regular" w:cstheme="minorHAnsi"/>
          <w:color w:val="000000" w:themeColor="text1"/>
          <w:sz w:val="22"/>
          <w:szCs w:val="22"/>
          <w:lang w:val="en-GB" w:bidi="ar-SA"/>
        </w:rPr>
        <w:t xml:space="preserve">on </w:t>
      </w:r>
      <w:r w:rsidRPr="00B979DE">
        <w:rPr>
          <w:rFonts w:ascii="Brandon Grotesque Regular" w:eastAsiaTheme="minorEastAsia" w:hAnsi="Brandon Grotesque Regular" w:cstheme="minorHAnsi"/>
          <w:color w:val="000000" w:themeColor="text1"/>
          <w:sz w:val="22"/>
          <w:szCs w:val="22"/>
          <w:lang w:val="en-GB" w:bidi="ar-SA"/>
        </w:rPr>
        <w:t xml:space="preserve">PCP, and (21) basis points versus the second half of </w:t>
      </w:r>
      <w:r w:rsidR="001303AF" w:rsidRPr="00B979DE">
        <w:rPr>
          <w:rFonts w:ascii="Brandon Grotesque Regular" w:eastAsiaTheme="minorEastAsia" w:hAnsi="Brandon Grotesque Regular" w:cstheme="minorHAnsi"/>
          <w:color w:val="000000" w:themeColor="text1"/>
          <w:sz w:val="22"/>
          <w:szCs w:val="22"/>
          <w:lang w:val="en-GB" w:bidi="ar-SA"/>
        </w:rPr>
        <w:t>last year</w:t>
      </w:r>
      <w:r w:rsidRPr="00B979DE">
        <w:rPr>
          <w:rFonts w:ascii="Brandon Grotesque Regular" w:eastAsiaTheme="minorEastAsia" w:hAnsi="Brandon Grotesque Regular" w:cstheme="minorHAnsi"/>
          <w:color w:val="000000" w:themeColor="text1"/>
          <w:sz w:val="22"/>
          <w:szCs w:val="22"/>
          <w:lang w:val="en-GB" w:bidi="ar-SA"/>
        </w:rPr>
        <w:t xml:space="preserve">.  This was, </w:t>
      </w:r>
      <w:r w:rsidR="009B7616" w:rsidRPr="00B979DE">
        <w:rPr>
          <w:rFonts w:ascii="Brandon Grotesque Regular" w:eastAsiaTheme="minorEastAsia" w:hAnsi="Brandon Grotesque Regular" w:cstheme="minorHAnsi"/>
          <w:color w:val="000000" w:themeColor="text1"/>
          <w:sz w:val="22"/>
          <w:szCs w:val="22"/>
          <w:lang w:val="en-GB" w:bidi="ar-SA"/>
        </w:rPr>
        <w:t>however, following</w:t>
      </w:r>
      <w:r w:rsidRPr="00B979DE">
        <w:rPr>
          <w:rFonts w:ascii="Brandon Grotesque Regular" w:eastAsiaTheme="minorEastAsia" w:hAnsi="Brandon Grotesque Regular" w:cstheme="minorHAnsi"/>
          <w:color w:val="000000" w:themeColor="text1"/>
          <w:sz w:val="22"/>
          <w:szCs w:val="22"/>
          <w:lang w:val="en-GB" w:bidi="ar-SA"/>
        </w:rPr>
        <w:t xml:space="preserve"> </w:t>
      </w:r>
      <w:r w:rsidR="00B45C65" w:rsidRPr="00B979DE">
        <w:rPr>
          <w:rFonts w:ascii="Brandon Grotesque Regular" w:eastAsiaTheme="minorEastAsia" w:hAnsi="Brandon Grotesque Regular" w:cstheme="minorHAnsi"/>
          <w:color w:val="000000" w:themeColor="text1"/>
          <w:sz w:val="22"/>
          <w:szCs w:val="22"/>
          <w:lang w:val="en-GB" w:bidi="ar-SA"/>
        </w:rPr>
        <w:t>th</w:t>
      </w:r>
      <w:r w:rsidRPr="00B979DE">
        <w:rPr>
          <w:rFonts w:ascii="Brandon Grotesque Regular" w:eastAsiaTheme="minorEastAsia" w:hAnsi="Brandon Grotesque Regular" w:cstheme="minorHAnsi"/>
          <w:color w:val="000000" w:themeColor="text1"/>
          <w:sz w:val="22"/>
          <w:szCs w:val="22"/>
          <w:lang w:val="en-GB" w:bidi="ar-SA"/>
        </w:rPr>
        <w:t xml:space="preserve">ree </w:t>
      </w:r>
      <w:r w:rsidR="00B45C65" w:rsidRPr="00B979DE">
        <w:rPr>
          <w:rFonts w:ascii="Brandon Grotesque Regular" w:eastAsiaTheme="minorEastAsia" w:hAnsi="Brandon Grotesque Regular" w:cstheme="minorHAnsi"/>
          <w:color w:val="000000" w:themeColor="text1"/>
          <w:sz w:val="22"/>
          <w:szCs w:val="22"/>
          <w:lang w:val="en-GB" w:bidi="ar-SA"/>
        </w:rPr>
        <w:t>consecutive period on period improvement</w:t>
      </w:r>
      <w:r w:rsidRPr="00B979DE">
        <w:rPr>
          <w:rFonts w:ascii="Brandon Grotesque Regular" w:eastAsiaTheme="minorEastAsia" w:hAnsi="Brandon Grotesque Regular" w:cstheme="minorHAnsi"/>
          <w:color w:val="000000" w:themeColor="text1"/>
          <w:sz w:val="22"/>
          <w:szCs w:val="22"/>
          <w:lang w:val="en-GB" w:bidi="ar-SA"/>
        </w:rPr>
        <w:t>s in Mortgage NIM.</w:t>
      </w:r>
    </w:p>
    <w:p w14:paraId="0D88D542" w14:textId="77777777" w:rsidR="000C0C8C" w:rsidRPr="00B979DE" w:rsidRDefault="000C0C8C"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p>
    <w:p w14:paraId="211C25A3" w14:textId="2F367E83" w:rsidR="009B7616" w:rsidRPr="00B979DE" w:rsidRDefault="009B7616"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Mortgage </w:t>
      </w:r>
      <w:r w:rsidR="000C0C8C" w:rsidRPr="00B979DE">
        <w:rPr>
          <w:rFonts w:ascii="Brandon Grotesque Regular" w:eastAsiaTheme="minorEastAsia" w:hAnsi="Brandon Grotesque Regular" w:cstheme="minorHAnsi"/>
          <w:color w:val="000000" w:themeColor="text1"/>
          <w:sz w:val="22"/>
          <w:szCs w:val="22"/>
          <w:lang w:val="en-GB" w:bidi="ar-SA"/>
        </w:rPr>
        <w:t>NIM compression was down to</w:t>
      </w:r>
      <w:r w:rsidRPr="00B979DE">
        <w:rPr>
          <w:rFonts w:ascii="Brandon Grotesque Regular" w:eastAsiaTheme="minorEastAsia" w:hAnsi="Brandon Grotesque Regular" w:cstheme="minorHAnsi"/>
          <w:color w:val="000000" w:themeColor="text1"/>
          <w:sz w:val="22"/>
          <w:szCs w:val="22"/>
          <w:lang w:val="en-GB" w:bidi="ar-SA"/>
        </w:rPr>
        <w:t xml:space="preserve"> product</w:t>
      </w:r>
      <w:r w:rsidR="000C0C8C" w:rsidRPr="00B979DE">
        <w:rPr>
          <w:rFonts w:ascii="Brandon Grotesque Regular" w:eastAsiaTheme="minorEastAsia" w:hAnsi="Brandon Grotesque Regular" w:cstheme="minorHAnsi"/>
          <w:color w:val="000000" w:themeColor="text1"/>
          <w:sz w:val="22"/>
          <w:szCs w:val="22"/>
          <w:lang w:val="en-GB" w:bidi="ar-SA"/>
        </w:rPr>
        <w:t xml:space="preserve"> </w:t>
      </w:r>
      <w:proofErr w:type="gramStart"/>
      <w:r w:rsidR="000C0C8C" w:rsidRPr="00B979DE">
        <w:rPr>
          <w:rFonts w:ascii="Brandon Grotesque Regular" w:eastAsiaTheme="minorEastAsia" w:hAnsi="Brandon Grotesque Regular" w:cstheme="minorHAnsi"/>
          <w:color w:val="000000" w:themeColor="text1"/>
          <w:sz w:val="22"/>
          <w:szCs w:val="22"/>
          <w:lang w:val="en-GB" w:bidi="ar-SA"/>
        </w:rPr>
        <w:t>mix</w:t>
      </w:r>
      <w:r w:rsidR="009D057E" w:rsidRPr="00B979DE">
        <w:rPr>
          <w:rFonts w:ascii="Brandon Grotesque Regular" w:eastAsiaTheme="minorEastAsia" w:hAnsi="Brandon Grotesque Regular" w:cstheme="minorHAnsi"/>
          <w:color w:val="000000" w:themeColor="text1"/>
          <w:sz w:val="22"/>
          <w:szCs w:val="22"/>
          <w:lang w:val="en-GB" w:bidi="ar-SA"/>
        </w:rPr>
        <w:t>;</w:t>
      </w:r>
      <w:proofErr w:type="gramEnd"/>
      <w:r w:rsidR="009D057E" w:rsidRPr="00B979DE">
        <w:rPr>
          <w:rFonts w:ascii="Brandon Grotesque Regular" w:eastAsiaTheme="minorEastAsia" w:hAnsi="Brandon Grotesque Regular" w:cstheme="minorHAnsi"/>
          <w:color w:val="000000" w:themeColor="text1"/>
          <w:sz w:val="22"/>
          <w:szCs w:val="22"/>
          <w:lang w:val="en-GB" w:bidi="ar-SA"/>
        </w:rPr>
        <w:t xml:space="preserve"> as the benefits from</w:t>
      </w:r>
    </w:p>
    <w:p w14:paraId="0736845E" w14:textId="54D134D3" w:rsidR="009B7616" w:rsidRPr="00B979DE" w:rsidRDefault="005D12FA"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Through </w:t>
      </w:r>
      <w:r w:rsidR="003361F3" w:rsidRPr="00B979DE">
        <w:rPr>
          <w:rFonts w:ascii="Brandon Grotesque Regular" w:eastAsiaTheme="minorEastAsia" w:hAnsi="Brandon Grotesque Regular" w:cstheme="minorHAnsi"/>
          <w:color w:val="000000" w:themeColor="text1"/>
          <w:sz w:val="22"/>
          <w:szCs w:val="22"/>
          <w:lang w:val="en-GB" w:bidi="ar-SA"/>
        </w:rPr>
        <w:t>i</w:t>
      </w:r>
      <w:r w:rsidR="009B7616" w:rsidRPr="00B979DE">
        <w:rPr>
          <w:rFonts w:ascii="Brandon Grotesque Regular" w:eastAsiaTheme="minorEastAsia" w:hAnsi="Brandon Grotesque Regular" w:cstheme="minorHAnsi"/>
          <w:color w:val="000000" w:themeColor="text1"/>
          <w:sz w:val="22"/>
          <w:szCs w:val="22"/>
          <w:lang w:val="en-GB" w:bidi="ar-SA"/>
        </w:rPr>
        <w:t xml:space="preserve">mproved </w:t>
      </w:r>
      <w:r w:rsidR="000C0C8C" w:rsidRPr="00B979DE">
        <w:rPr>
          <w:rFonts w:ascii="Brandon Grotesque Regular" w:eastAsiaTheme="minorEastAsia" w:hAnsi="Brandon Grotesque Regular" w:cstheme="minorHAnsi"/>
          <w:color w:val="000000" w:themeColor="text1"/>
          <w:sz w:val="22"/>
          <w:szCs w:val="22"/>
          <w:lang w:val="en-GB" w:bidi="ar-SA"/>
        </w:rPr>
        <w:t xml:space="preserve">market </w:t>
      </w:r>
      <w:proofErr w:type="gramStart"/>
      <w:r w:rsidR="009B7616" w:rsidRPr="00B979DE">
        <w:rPr>
          <w:rFonts w:ascii="Brandon Grotesque Regular" w:eastAsiaTheme="minorEastAsia" w:hAnsi="Brandon Grotesque Regular" w:cstheme="minorHAnsi"/>
          <w:color w:val="000000" w:themeColor="text1"/>
          <w:sz w:val="22"/>
          <w:szCs w:val="22"/>
          <w:lang w:val="en-GB" w:bidi="ar-SA"/>
        </w:rPr>
        <w:t>conditions;</w:t>
      </w:r>
      <w:proofErr w:type="gramEnd"/>
    </w:p>
    <w:p w14:paraId="2B2CC0C0" w14:textId="26167124" w:rsidR="009B7616" w:rsidRPr="00B979DE" w:rsidRDefault="00E62C71"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the </w:t>
      </w:r>
      <w:r w:rsidR="009B7616" w:rsidRPr="00B979DE">
        <w:rPr>
          <w:rFonts w:ascii="Brandon Grotesque Regular" w:eastAsiaTheme="minorEastAsia" w:hAnsi="Brandon Grotesque Regular" w:cstheme="minorHAnsi"/>
          <w:color w:val="000000" w:themeColor="text1"/>
          <w:sz w:val="22"/>
          <w:szCs w:val="22"/>
          <w:lang w:val="en-GB" w:bidi="ar-SA"/>
        </w:rPr>
        <w:t xml:space="preserve">strengthening </w:t>
      </w:r>
      <w:r w:rsidRPr="00B979DE">
        <w:rPr>
          <w:rFonts w:ascii="Brandon Grotesque Regular" w:eastAsiaTheme="minorEastAsia" w:hAnsi="Brandon Grotesque Regular" w:cstheme="minorHAnsi"/>
          <w:color w:val="000000" w:themeColor="text1"/>
          <w:sz w:val="22"/>
          <w:szCs w:val="22"/>
          <w:lang w:val="en-GB" w:bidi="ar-SA"/>
        </w:rPr>
        <w:t xml:space="preserve">in </w:t>
      </w:r>
      <w:r w:rsidR="009B7616" w:rsidRPr="00B979DE">
        <w:rPr>
          <w:rFonts w:ascii="Brandon Grotesque Regular" w:eastAsiaTheme="minorEastAsia" w:hAnsi="Brandon Grotesque Regular" w:cstheme="minorHAnsi"/>
          <w:color w:val="000000" w:themeColor="text1"/>
          <w:sz w:val="22"/>
          <w:szCs w:val="22"/>
          <w:lang w:val="en-GB" w:bidi="ar-SA"/>
        </w:rPr>
        <w:t xml:space="preserve">consumer </w:t>
      </w:r>
      <w:proofErr w:type="gramStart"/>
      <w:r w:rsidR="009B7616" w:rsidRPr="00B979DE">
        <w:rPr>
          <w:rFonts w:ascii="Brandon Grotesque Regular" w:eastAsiaTheme="minorEastAsia" w:hAnsi="Brandon Grotesque Regular" w:cstheme="minorHAnsi"/>
          <w:color w:val="000000" w:themeColor="text1"/>
          <w:sz w:val="22"/>
          <w:szCs w:val="22"/>
          <w:lang w:val="en-GB" w:bidi="ar-SA"/>
        </w:rPr>
        <w:t>confidence;</w:t>
      </w:r>
      <w:proofErr w:type="gramEnd"/>
    </w:p>
    <w:p w14:paraId="118CA8EB" w14:textId="33D88A12" w:rsidR="009B7616" w:rsidRPr="00B979DE" w:rsidRDefault="009B7616"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stable </w:t>
      </w:r>
      <w:proofErr w:type="gramStart"/>
      <w:r w:rsidRPr="00B979DE">
        <w:rPr>
          <w:rFonts w:ascii="Brandon Grotesque Regular" w:eastAsiaTheme="minorEastAsia" w:hAnsi="Brandon Grotesque Regular" w:cstheme="minorHAnsi"/>
          <w:color w:val="000000" w:themeColor="text1"/>
          <w:sz w:val="22"/>
          <w:szCs w:val="22"/>
          <w:lang w:val="en-GB" w:bidi="ar-SA"/>
        </w:rPr>
        <w:t>BBSW;</w:t>
      </w:r>
      <w:proofErr w:type="gramEnd"/>
      <w:r w:rsidR="006F78DF" w:rsidRPr="00B979DE">
        <w:rPr>
          <w:rFonts w:ascii="Brandon Grotesque Regular" w:eastAsiaTheme="minorEastAsia" w:hAnsi="Brandon Grotesque Regular" w:cstheme="minorHAnsi"/>
          <w:color w:val="000000" w:themeColor="text1"/>
          <w:sz w:val="22"/>
          <w:szCs w:val="22"/>
          <w:lang w:val="en-GB" w:bidi="ar-SA"/>
        </w:rPr>
        <w:t xml:space="preserve"> </w:t>
      </w:r>
    </w:p>
    <w:p w14:paraId="004772A9" w14:textId="2C7A3D40" w:rsidR="009B7616" w:rsidRPr="00B979DE" w:rsidRDefault="009B7616"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and </w:t>
      </w:r>
      <w:r w:rsidR="00E62C71" w:rsidRPr="00B979DE">
        <w:rPr>
          <w:rFonts w:ascii="Brandon Grotesque Regular" w:eastAsiaTheme="minorEastAsia" w:hAnsi="Brandon Grotesque Regular" w:cstheme="minorHAnsi"/>
          <w:color w:val="000000" w:themeColor="text1"/>
          <w:sz w:val="22"/>
          <w:szCs w:val="22"/>
          <w:lang w:val="en-GB" w:bidi="ar-SA"/>
        </w:rPr>
        <w:t xml:space="preserve">improved </w:t>
      </w:r>
      <w:r w:rsidRPr="00B979DE">
        <w:rPr>
          <w:rFonts w:ascii="Brandon Grotesque Regular" w:eastAsiaTheme="minorEastAsia" w:hAnsi="Brandon Grotesque Regular" w:cstheme="minorHAnsi"/>
          <w:color w:val="000000" w:themeColor="text1"/>
          <w:sz w:val="22"/>
          <w:szCs w:val="22"/>
          <w:lang w:val="en-GB" w:bidi="ar-SA"/>
        </w:rPr>
        <w:t>funding margin</w:t>
      </w:r>
      <w:r w:rsidR="00B636CA" w:rsidRPr="00B979DE">
        <w:rPr>
          <w:rFonts w:ascii="Brandon Grotesque Regular" w:eastAsiaTheme="minorEastAsia" w:hAnsi="Brandon Grotesque Regular" w:cstheme="minorHAnsi"/>
          <w:color w:val="000000" w:themeColor="text1"/>
          <w:sz w:val="22"/>
          <w:szCs w:val="22"/>
          <w:lang w:val="en-GB" w:bidi="ar-SA"/>
        </w:rPr>
        <w:t>s</w:t>
      </w:r>
      <w:r w:rsidRPr="00B979DE">
        <w:rPr>
          <w:rFonts w:ascii="Brandon Grotesque Regular" w:eastAsiaTheme="minorEastAsia" w:hAnsi="Brandon Grotesque Regular" w:cstheme="minorHAnsi"/>
          <w:color w:val="000000" w:themeColor="text1"/>
          <w:sz w:val="22"/>
          <w:szCs w:val="22"/>
          <w:lang w:val="en-GB" w:bidi="ar-SA"/>
        </w:rPr>
        <w:t xml:space="preserve"> </w:t>
      </w:r>
    </w:p>
    <w:p w14:paraId="4E5C2B22" w14:textId="77E19B73" w:rsidR="009B7616" w:rsidRPr="00B979DE" w:rsidRDefault="000C0C8C"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allow</w:t>
      </w:r>
      <w:r w:rsidR="009B7616" w:rsidRPr="00B979DE">
        <w:rPr>
          <w:rFonts w:ascii="Brandon Grotesque Regular" w:eastAsiaTheme="minorEastAsia" w:hAnsi="Brandon Grotesque Regular" w:cstheme="minorHAnsi"/>
          <w:color w:val="000000" w:themeColor="text1"/>
          <w:sz w:val="22"/>
          <w:szCs w:val="22"/>
          <w:lang w:val="en-GB" w:bidi="ar-SA"/>
        </w:rPr>
        <w:t xml:space="preserve">ed </w:t>
      </w:r>
      <w:r w:rsidRPr="00B979DE">
        <w:rPr>
          <w:rFonts w:ascii="Brandon Grotesque Regular" w:eastAsiaTheme="minorEastAsia" w:hAnsi="Brandon Grotesque Regular" w:cstheme="minorHAnsi"/>
          <w:color w:val="000000" w:themeColor="text1"/>
          <w:sz w:val="22"/>
          <w:szCs w:val="22"/>
          <w:lang w:val="en-GB" w:bidi="ar-SA"/>
        </w:rPr>
        <w:t>us to implement</w:t>
      </w:r>
      <w:r w:rsidR="001303AF"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color w:val="000000" w:themeColor="text1"/>
          <w:sz w:val="22"/>
          <w:szCs w:val="22"/>
          <w:lang w:val="en-GB" w:bidi="ar-SA"/>
        </w:rPr>
        <w:t>pricing strateg</w:t>
      </w:r>
      <w:r w:rsidR="001303AF" w:rsidRPr="00B979DE">
        <w:rPr>
          <w:rFonts w:ascii="Brandon Grotesque Regular" w:eastAsiaTheme="minorEastAsia" w:hAnsi="Brandon Grotesque Regular" w:cstheme="minorHAnsi"/>
          <w:color w:val="000000" w:themeColor="text1"/>
          <w:sz w:val="22"/>
          <w:szCs w:val="22"/>
          <w:lang w:val="en-GB" w:bidi="ar-SA"/>
        </w:rPr>
        <w:t xml:space="preserve">ies that </w:t>
      </w:r>
      <w:r w:rsidRPr="00B979DE">
        <w:rPr>
          <w:rFonts w:ascii="Brandon Grotesque Regular" w:eastAsiaTheme="minorEastAsia" w:hAnsi="Brandon Grotesque Regular" w:cstheme="minorHAnsi"/>
          <w:color w:val="000000" w:themeColor="text1"/>
          <w:sz w:val="22"/>
          <w:szCs w:val="22"/>
          <w:lang w:val="en-GB" w:bidi="ar-SA"/>
        </w:rPr>
        <w:t xml:space="preserve">deliver strong Prime Mortgage volume growth.  </w:t>
      </w:r>
      <w:r w:rsidR="009B7616" w:rsidRPr="00B979DE">
        <w:rPr>
          <w:rFonts w:ascii="Brandon Grotesque Regular" w:eastAsiaTheme="minorEastAsia" w:hAnsi="Brandon Grotesque Regular" w:cstheme="minorHAnsi"/>
          <w:color w:val="000000" w:themeColor="text1"/>
          <w:sz w:val="22"/>
          <w:szCs w:val="22"/>
          <w:lang w:val="en-GB" w:bidi="ar-SA"/>
        </w:rPr>
        <w:t xml:space="preserve">  Prime Mortgage Originations were $1.9 billion and accounted for 70% of total first half</w:t>
      </w:r>
      <w:r w:rsidR="00E62C71" w:rsidRPr="00B979DE">
        <w:rPr>
          <w:rFonts w:ascii="Brandon Grotesque Regular" w:eastAsiaTheme="minorEastAsia" w:hAnsi="Brandon Grotesque Regular" w:cstheme="minorHAnsi"/>
          <w:color w:val="000000" w:themeColor="text1"/>
          <w:sz w:val="22"/>
          <w:szCs w:val="22"/>
          <w:lang w:val="en-GB" w:bidi="ar-SA"/>
        </w:rPr>
        <w:t xml:space="preserve"> Mortgage</w:t>
      </w:r>
      <w:r w:rsidR="009B7616" w:rsidRPr="00B979DE">
        <w:rPr>
          <w:rFonts w:ascii="Brandon Grotesque Regular" w:eastAsiaTheme="minorEastAsia" w:hAnsi="Brandon Grotesque Regular" w:cstheme="minorHAnsi"/>
          <w:color w:val="000000" w:themeColor="text1"/>
          <w:sz w:val="22"/>
          <w:szCs w:val="22"/>
          <w:lang w:val="en-GB" w:bidi="ar-SA"/>
        </w:rPr>
        <w:t xml:space="preserve"> Originations.</w:t>
      </w:r>
      <w:r w:rsidR="009D057E" w:rsidRPr="00B979DE">
        <w:rPr>
          <w:rFonts w:ascii="Brandon Grotesque Regular" w:eastAsiaTheme="minorEastAsia" w:hAnsi="Brandon Grotesque Regular" w:cstheme="minorHAnsi"/>
          <w:color w:val="000000" w:themeColor="text1"/>
          <w:sz w:val="22"/>
          <w:szCs w:val="22"/>
          <w:lang w:val="en-GB" w:bidi="ar-SA"/>
        </w:rPr>
        <w:t xml:space="preserve">  I should also note we passed all RBA rate reductions onto our customers.</w:t>
      </w:r>
    </w:p>
    <w:p w14:paraId="14F8C368" w14:textId="77777777" w:rsidR="00B45C65" w:rsidRPr="00B979DE" w:rsidRDefault="00B45C65"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bidi="ar-SA"/>
        </w:rPr>
      </w:pPr>
    </w:p>
    <w:p w14:paraId="22C7F949" w14:textId="70807315" w:rsidR="009D057E" w:rsidRPr="00B979DE" w:rsidRDefault="008A37F3"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Now turning</w:t>
      </w:r>
      <w:r w:rsidR="009D057E" w:rsidRPr="00B979DE">
        <w:rPr>
          <w:rFonts w:ascii="Brandon Grotesque Regular" w:eastAsiaTheme="minorEastAsia" w:hAnsi="Brandon Grotesque Regular" w:cstheme="minorHAnsi"/>
          <w:color w:val="000000" w:themeColor="text1"/>
          <w:sz w:val="22"/>
          <w:szCs w:val="22"/>
          <w:lang w:val="en-GB" w:bidi="ar-SA"/>
        </w:rPr>
        <w:t xml:space="preserve"> to Asset Finance: </w:t>
      </w:r>
      <w:r w:rsidR="00B45C65" w:rsidRPr="00B979DE">
        <w:rPr>
          <w:rFonts w:ascii="Brandon Grotesque Regular" w:eastAsiaTheme="minorEastAsia" w:hAnsi="Brandon Grotesque Regular" w:cstheme="minorHAnsi"/>
          <w:color w:val="000000" w:themeColor="text1"/>
          <w:sz w:val="22"/>
          <w:szCs w:val="22"/>
          <w:lang w:val="en-GB" w:bidi="ar-SA"/>
        </w:rPr>
        <w:t xml:space="preserve"> </w:t>
      </w:r>
    </w:p>
    <w:p w14:paraId="16D32B32" w14:textId="00025966" w:rsidR="003361F3" w:rsidRPr="00B979DE" w:rsidRDefault="00526E1F"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Asset Finance </w:t>
      </w:r>
      <w:r w:rsidR="00B45C65" w:rsidRPr="00B979DE">
        <w:rPr>
          <w:rFonts w:ascii="Brandon Grotesque Regular" w:eastAsiaTheme="minorEastAsia" w:hAnsi="Brandon Grotesque Regular" w:cstheme="minorHAnsi"/>
          <w:color w:val="000000" w:themeColor="text1"/>
          <w:sz w:val="22"/>
          <w:szCs w:val="22"/>
          <w:lang w:val="en-GB" w:bidi="ar-SA"/>
        </w:rPr>
        <w:t xml:space="preserve">NIM </w:t>
      </w:r>
      <w:r w:rsidRPr="00B979DE">
        <w:rPr>
          <w:rFonts w:ascii="Brandon Grotesque Regular" w:eastAsiaTheme="minorEastAsia" w:hAnsi="Brandon Grotesque Regular" w:cstheme="minorHAnsi"/>
          <w:color w:val="000000" w:themeColor="text1"/>
          <w:sz w:val="22"/>
          <w:szCs w:val="22"/>
          <w:lang w:val="en-GB" w:bidi="ar-SA"/>
        </w:rPr>
        <w:t>improve</w:t>
      </w:r>
      <w:r w:rsidR="001303AF" w:rsidRPr="00B979DE">
        <w:rPr>
          <w:rFonts w:ascii="Brandon Grotesque Regular" w:eastAsiaTheme="minorEastAsia" w:hAnsi="Brandon Grotesque Regular" w:cstheme="minorHAnsi"/>
          <w:color w:val="000000" w:themeColor="text1"/>
          <w:sz w:val="22"/>
          <w:szCs w:val="22"/>
          <w:lang w:val="en-GB" w:bidi="ar-SA"/>
        </w:rPr>
        <w:t>d</w:t>
      </w:r>
      <w:r w:rsidRPr="00B979DE">
        <w:rPr>
          <w:rFonts w:ascii="Brandon Grotesque Regular" w:eastAsiaTheme="minorEastAsia" w:hAnsi="Brandon Grotesque Regular" w:cstheme="minorHAnsi"/>
          <w:color w:val="000000" w:themeColor="text1"/>
          <w:sz w:val="22"/>
          <w:szCs w:val="22"/>
          <w:lang w:val="en-GB" w:bidi="ar-SA"/>
        </w:rPr>
        <w:t xml:space="preserve"> versus </w:t>
      </w:r>
      <w:r w:rsidR="00B45C65" w:rsidRPr="00B979DE">
        <w:rPr>
          <w:rFonts w:ascii="Brandon Grotesque Regular" w:eastAsiaTheme="minorEastAsia" w:hAnsi="Brandon Grotesque Regular" w:cstheme="minorHAnsi"/>
          <w:color w:val="000000" w:themeColor="text1"/>
          <w:sz w:val="22"/>
          <w:szCs w:val="22"/>
          <w:lang w:val="en-GB" w:bidi="ar-SA"/>
        </w:rPr>
        <w:t>both the first and second half of 202</w:t>
      </w:r>
      <w:r w:rsidR="009D057E" w:rsidRPr="00B979DE">
        <w:rPr>
          <w:rFonts w:ascii="Brandon Grotesque Regular" w:eastAsiaTheme="minorEastAsia" w:hAnsi="Brandon Grotesque Regular" w:cstheme="minorHAnsi"/>
          <w:color w:val="000000" w:themeColor="text1"/>
          <w:sz w:val="22"/>
          <w:szCs w:val="22"/>
          <w:lang w:val="en-GB" w:bidi="ar-SA"/>
        </w:rPr>
        <w:t>4</w:t>
      </w:r>
      <w:r w:rsidR="001303AF" w:rsidRPr="00B979DE">
        <w:rPr>
          <w:rFonts w:ascii="Brandon Grotesque Regular" w:eastAsiaTheme="minorEastAsia" w:hAnsi="Brandon Grotesque Regular" w:cstheme="minorHAnsi"/>
          <w:color w:val="000000" w:themeColor="text1"/>
          <w:sz w:val="22"/>
          <w:szCs w:val="22"/>
          <w:lang w:val="en-GB" w:bidi="ar-SA"/>
        </w:rPr>
        <w:t>.</w:t>
      </w:r>
      <w:r w:rsidR="003361F3" w:rsidRPr="00B979DE">
        <w:rPr>
          <w:rFonts w:ascii="Brandon Grotesque Regular" w:eastAsiaTheme="minorEastAsia" w:hAnsi="Brandon Grotesque Regular" w:cstheme="minorHAnsi"/>
          <w:color w:val="000000" w:themeColor="text1"/>
          <w:sz w:val="22"/>
          <w:szCs w:val="22"/>
          <w:lang w:val="en-GB" w:bidi="ar-SA"/>
        </w:rPr>
        <w:t xml:space="preserve"> </w:t>
      </w:r>
    </w:p>
    <w:p w14:paraId="576CBF56" w14:textId="77777777" w:rsidR="003361F3" w:rsidRPr="00B979DE" w:rsidRDefault="003361F3"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16EC2FA8" w14:textId="752714C1" w:rsidR="003361F3" w:rsidRPr="00B979DE" w:rsidRDefault="003361F3"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We closed the half at 2.73% - up </w:t>
      </w:r>
      <w:r w:rsidR="001303AF" w:rsidRPr="00B979DE">
        <w:rPr>
          <w:rFonts w:ascii="Brandon Grotesque Regular" w:eastAsiaTheme="minorEastAsia" w:hAnsi="Brandon Grotesque Regular" w:cstheme="minorHAnsi"/>
          <w:color w:val="000000" w:themeColor="text1"/>
          <w:sz w:val="22"/>
          <w:szCs w:val="22"/>
          <w:lang w:val="en-GB" w:bidi="ar-SA"/>
        </w:rPr>
        <w:t>21 basis points on PCP</w:t>
      </w:r>
      <w:r w:rsidR="00276A05" w:rsidRPr="00B979DE">
        <w:rPr>
          <w:rFonts w:ascii="Brandon Grotesque Regular" w:eastAsiaTheme="minorEastAsia" w:hAnsi="Brandon Grotesque Regular" w:cstheme="minorHAnsi"/>
          <w:color w:val="000000" w:themeColor="text1"/>
          <w:sz w:val="22"/>
          <w:szCs w:val="22"/>
          <w:lang w:val="en-GB" w:bidi="ar-SA"/>
        </w:rPr>
        <w:t>.</w:t>
      </w:r>
      <w:r w:rsidR="001F7321"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color w:val="000000" w:themeColor="text1"/>
          <w:sz w:val="22"/>
          <w:szCs w:val="22"/>
          <w:lang w:val="en-GB" w:bidi="ar-SA"/>
        </w:rPr>
        <w:t xml:space="preserve"> </w:t>
      </w:r>
      <w:r w:rsidR="00E62C71" w:rsidRPr="00B979DE">
        <w:rPr>
          <w:rFonts w:ascii="Brandon Grotesque Regular" w:eastAsiaTheme="minorEastAsia" w:hAnsi="Brandon Grotesque Regular" w:cstheme="minorHAnsi"/>
          <w:color w:val="000000" w:themeColor="text1"/>
          <w:sz w:val="22"/>
          <w:szCs w:val="22"/>
          <w:lang w:val="en-GB" w:bidi="ar-SA"/>
        </w:rPr>
        <w:t xml:space="preserve">The </w:t>
      </w:r>
      <w:r w:rsidR="001303AF" w:rsidRPr="00B979DE">
        <w:rPr>
          <w:rFonts w:ascii="Brandon Grotesque Regular" w:eastAsiaTheme="minorEastAsia" w:hAnsi="Brandon Grotesque Regular" w:cstheme="minorHAnsi"/>
          <w:color w:val="000000" w:themeColor="text1"/>
          <w:sz w:val="22"/>
          <w:szCs w:val="22"/>
          <w:lang w:val="en-GB" w:bidi="ar-SA"/>
        </w:rPr>
        <w:t xml:space="preserve">growth in NIM versus PCP </w:t>
      </w:r>
      <w:r w:rsidR="00E62C71" w:rsidRPr="00B979DE">
        <w:rPr>
          <w:rFonts w:ascii="Brandon Grotesque Regular" w:eastAsiaTheme="minorEastAsia" w:hAnsi="Brandon Grotesque Regular" w:cstheme="minorHAnsi"/>
          <w:color w:val="000000" w:themeColor="text1"/>
          <w:sz w:val="22"/>
          <w:szCs w:val="22"/>
          <w:lang w:val="en-GB" w:bidi="ar-SA"/>
        </w:rPr>
        <w:t>was driven by:</w:t>
      </w:r>
    </w:p>
    <w:p w14:paraId="34DC9AD6" w14:textId="14DC1E89" w:rsidR="003361F3" w:rsidRDefault="00E62C71"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improved </w:t>
      </w:r>
      <w:r w:rsidR="003361F3">
        <w:rPr>
          <w:rFonts w:ascii="Brandon Grotesque Regular" w:eastAsiaTheme="minorEastAsia" w:hAnsi="Brandon Grotesque Regular" w:cstheme="minorHAnsi"/>
          <w:color w:val="000000" w:themeColor="text1"/>
          <w:sz w:val="22"/>
          <w:szCs w:val="22"/>
          <w:lang w:val="en-GB" w:bidi="ar-SA"/>
        </w:rPr>
        <w:t xml:space="preserve">funding </w:t>
      </w:r>
      <w:r>
        <w:rPr>
          <w:rFonts w:ascii="Brandon Grotesque Regular" w:eastAsiaTheme="minorEastAsia" w:hAnsi="Brandon Grotesque Regular" w:cstheme="minorHAnsi"/>
          <w:color w:val="000000" w:themeColor="text1"/>
          <w:sz w:val="22"/>
          <w:szCs w:val="22"/>
          <w:lang w:val="en-GB" w:bidi="ar-SA"/>
        </w:rPr>
        <w:t>m</w:t>
      </w:r>
      <w:r w:rsidR="003361F3">
        <w:rPr>
          <w:rFonts w:ascii="Brandon Grotesque Regular" w:eastAsiaTheme="minorEastAsia" w:hAnsi="Brandon Grotesque Regular" w:cstheme="minorHAnsi"/>
          <w:color w:val="000000" w:themeColor="text1"/>
          <w:sz w:val="22"/>
          <w:szCs w:val="22"/>
          <w:lang w:val="en-GB" w:bidi="ar-SA"/>
        </w:rPr>
        <w:t>argins</w:t>
      </w:r>
      <w:r>
        <w:rPr>
          <w:rFonts w:ascii="Brandon Grotesque Regular" w:eastAsiaTheme="minorEastAsia" w:hAnsi="Brandon Grotesque Regular" w:cstheme="minorHAnsi"/>
          <w:color w:val="000000" w:themeColor="text1"/>
          <w:sz w:val="22"/>
          <w:szCs w:val="22"/>
          <w:lang w:val="en-GB" w:bidi="ar-SA"/>
        </w:rPr>
        <w:t xml:space="preserve"> - which</w:t>
      </w:r>
      <w:r w:rsidR="003361F3">
        <w:rPr>
          <w:rFonts w:ascii="Brandon Grotesque Regular" w:eastAsiaTheme="minorEastAsia" w:hAnsi="Brandon Grotesque Regular" w:cstheme="minorHAnsi"/>
          <w:color w:val="000000" w:themeColor="text1"/>
          <w:sz w:val="22"/>
          <w:szCs w:val="22"/>
          <w:lang w:val="en-GB" w:bidi="ar-SA"/>
        </w:rPr>
        <w:t xml:space="preserve"> added 2</w:t>
      </w:r>
      <w:r w:rsidR="00CA01C8">
        <w:rPr>
          <w:rFonts w:ascii="Brandon Grotesque Regular" w:eastAsiaTheme="minorEastAsia" w:hAnsi="Brandon Grotesque Regular" w:cstheme="minorHAnsi"/>
          <w:color w:val="000000" w:themeColor="text1"/>
          <w:sz w:val="22"/>
          <w:szCs w:val="22"/>
          <w:lang w:val="en-GB" w:bidi="ar-SA"/>
        </w:rPr>
        <w:t>2</w:t>
      </w:r>
      <w:r w:rsidR="00276A05" w:rsidRPr="00276A05">
        <w:rPr>
          <w:rFonts w:ascii="Brandon Grotesque Regular" w:eastAsiaTheme="minorEastAsia" w:hAnsi="Brandon Grotesque Regular" w:cstheme="minorHAnsi"/>
          <w:color w:val="000000" w:themeColor="text1"/>
          <w:sz w:val="22"/>
          <w:szCs w:val="22"/>
          <w:lang w:val="en-GB" w:bidi="ar-SA"/>
        </w:rPr>
        <w:t xml:space="preserve"> </w:t>
      </w:r>
      <w:r w:rsidR="00276A05">
        <w:rPr>
          <w:rFonts w:ascii="Brandon Grotesque Regular" w:eastAsiaTheme="minorEastAsia" w:hAnsi="Brandon Grotesque Regular" w:cstheme="minorHAnsi"/>
          <w:color w:val="000000" w:themeColor="text1"/>
          <w:sz w:val="22"/>
          <w:szCs w:val="22"/>
          <w:lang w:val="en-GB" w:bidi="ar-SA"/>
        </w:rPr>
        <w:t>basis points</w:t>
      </w:r>
      <w:r w:rsidR="003361F3">
        <w:rPr>
          <w:rFonts w:ascii="Brandon Grotesque Regular" w:eastAsiaTheme="minorEastAsia" w:hAnsi="Brandon Grotesque Regular" w:cstheme="minorHAnsi"/>
          <w:color w:val="000000" w:themeColor="text1"/>
          <w:sz w:val="22"/>
          <w:szCs w:val="22"/>
          <w:lang w:val="en-GB" w:bidi="ar-SA"/>
        </w:rPr>
        <w:t xml:space="preserve"> to NIM, and </w:t>
      </w:r>
      <w:r w:rsidR="00267917">
        <w:rPr>
          <w:rFonts w:ascii="Brandon Grotesque Regular" w:eastAsiaTheme="minorEastAsia" w:hAnsi="Brandon Grotesque Regular" w:cstheme="minorHAnsi"/>
          <w:color w:val="000000" w:themeColor="text1"/>
          <w:sz w:val="22"/>
          <w:szCs w:val="22"/>
          <w:lang w:val="en-GB" w:bidi="ar-SA"/>
        </w:rPr>
        <w:t>by the</w:t>
      </w:r>
    </w:p>
    <w:p w14:paraId="65A68A7C" w14:textId="0B44A19E" w:rsidR="003361F3" w:rsidRPr="003361F3" w:rsidRDefault="00B979DE" w:rsidP="00F408E1">
      <w:pPr>
        <w:pStyle w:val="ListParagraph"/>
        <w:numPr>
          <w:ilvl w:val="1"/>
          <w:numId w:val="22"/>
        </w:numPr>
        <w:spacing w:after="0" w:line="240" w:lineRule="auto"/>
        <w:ind w:left="851" w:hanging="283"/>
        <w:jc w:val="both"/>
        <w:rPr>
          <w:rFonts w:ascii="Brandon Grotesque Regular" w:eastAsiaTheme="minorEastAsia" w:hAnsi="Brandon Grotesque Regular" w:cstheme="minorHAnsi"/>
          <w:color w:val="000000" w:themeColor="text1"/>
          <w:sz w:val="22"/>
          <w:szCs w:val="22"/>
          <w:lang w:bidi="ar-SA"/>
        </w:rPr>
      </w:pPr>
      <w:r>
        <w:rPr>
          <w:rFonts w:ascii="Brandon Grotesque Regular" w:eastAsiaTheme="minorEastAsia" w:hAnsi="Brandon Grotesque Regular" w:cstheme="minorHAnsi"/>
          <w:color w:val="000000" w:themeColor="text1"/>
          <w:sz w:val="22"/>
          <w:szCs w:val="22"/>
          <w:lang w:val="en-GB" w:bidi="ar-SA"/>
        </w:rPr>
        <w:t xml:space="preserve">the </w:t>
      </w:r>
      <w:r w:rsidR="003361F3" w:rsidRPr="003361F3">
        <w:rPr>
          <w:rFonts w:ascii="Brandon Grotesque Regular" w:eastAsiaTheme="minorEastAsia" w:hAnsi="Brandon Grotesque Regular" w:cstheme="minorHAnsi"/>
          <w:color w:val="000000" w:themeColor="text1"/>
          <w:sz w:val="22"/>
          <w:szCs w:val="22"/>
          <w:lang w:val="en-GB" w:bidi="ar-SA"/>
        </w:rPr>
        <w:t xml:space="preserve">product mix and </w:t>
      </w:r>
      <w:r w:rsidR="00B45C65" w:rsidRPr="003361F3">
        <w:rPr>
          <w:rFonts w:ascii="Brandon Grotesque Regular" w:eastAsiaTheme="minorEastAsia" w:hAnsi="Brandon Grotesque Regular" w:cstheme="minorHAnsi"/>
          <w:color w:val="000000" w:themeColor="text1"/>
          <w:sz w:val="22"/>
          <w:szCs w:val="22"/>
          <w:lang w:val="en-GB" w:bidi="ar-SA"/>
        </w:rPr>
        <w:t>pricing initiatives</w:t>
      </w:r>
      <w:r w:rsidR="001303AF">
        <w:rPr>
          <w:rFonts w:ascii="Brandon Grotesque Regular" w:eastAsiaTheme="minorEastAsia" w:hAnsi="Brandon Grotesque Regular" w:cstheme="minorHAnsi"/>
          <w:color w:val="000000" w:themeColor="text1"/>
          <w:sz w:val="22"/>
          <w:szCs w:val="22"/>
          <w:lang w:val="en-GB" w:bidi="ar-SA"/>
        </w:rPr>
        <w:t xml:space="preserve"> that </w:t>
      </w:r>
      <w:r w:rsidR="00B45C65" w:rsidRPr="003361F3">
        <w:rPr>
          <w:rFonts w:ascii="Brandon Grotesque Regular" w:eastAsiaTheme="minorEastAsia" w:hAnsi="Brandon Grotesque Regular" w:cstheme="minorHAnsi"/>
          <w:color w:val="000000" w:themeColor="text1"/>
          <w:sz w:val="22"/>
          <w:szCs w:val="22"/>
          <w:lang w:val="en-GB" w:bidi="ar-SA"/>
        </w:rPr>
        <w:t>improved the average Customer Rates by 3</w:t>
      </w:r>
      <w:r w:rsidR="003361F3" w:rsidRPr="003361F3">
        <w:rPr>
          <w:rFonts w:ascii="Brandon Grotesque Regular" w:eastAsiaTheme="minorEastAsia" w:hAnsi="Brandon Grotesque Regular" w:cstheme="minorHAnsi"/>
          <w:color w:val="000000" w:themeColor="text1"/>
          <w:sz w:val="22"/>
          <w:szCs w:val="22"/>
          <w:lang w:val="en-GB" w:bidi="ar-SA"/>
        </w:rPr>
        <w:t>0</w:t>
      </w:r>
      <w:r w:rsidR="00B45C65" w:rsidRPr="003361F3">
        <w:rPr>
          <w:rFonts w:ascii="Brandon Grotesque Regular" w:eastAsiaTheme="minorEastAsia" w:hAnsi="Brandon Grotesque Regular" w:cstheme="minorHAnsi"/>
          <w:color w:val="000000" w:themeColor="text1"/>
          <w:sz w:val="22"/>
          <w:szCs w:val="22"/>
          <w:lang w:val="en-GB" w:bidi="ar-SA"/>
        </w:rPr>
        <w:t xml:space="preserve"> basis points, versus </w:t>
      </w:r>
      <w:r w:rsidR="001303AF">
        <w:rPr>
          <w:rFonts w:ascii="Brandon Grotesque Regular" w:eastAsiaTheme="minorEastAsia" w:hAnsi="Brandon Grotesque Regular" w:cstheme="minorHAnsi"/>
          <w:color w:val="000000" w:themeColor="text1"/>
          <w:sz w:val="22"/>
          <w:szCs w:val="22"/>
          <w:lang w:val="en-GB" w:bidi="ar-SA"/>
        </w:rPr>
        <w:t>PCP</w:t>
      </w:r>
      <w:r w:rsidR="00B45C65" w:rsidRPr="003361F3">
        <w:rPr>
          <w:rFonts w:ascii="Brandon Grotesque Regular" w:eastAsiaTheme="minorEastAsia" w:hAnsi="Brandon Grotesque Regular" w:cstheme="minorHAnsi"/>
          <w:color w:val="000000" w:themeColor="text1"/>
          <w:sz w:val="22"/>
          <w:szCs w:val="22"/>
          <w:lang w:val="en-GB" w:bidi="ar-SA"/>
        </w:rPr>
        <w:t>.  Our Asset Finance customers and partners value our speed to yes and our ease of doing business</w:t>
      </w:r>
      <w:r w:rsidR="00E62C71">
        <w:rPr>
          <w:rFonts w:ascii="Brandon Grotesque Regular" w:eastAsiaTheme="minorEastAsia" w:hAnsi="Brandon Grotesque Regular" w:cstheme="minorHAnsi"/>
          <w:color w:val="000000" w:themeColor="text1"/>
          <w:sz w:val="22"/>
          <w:szCs w:val="22"/>
          <w:lang w:val="en-GB" w:bidi="ar-SA"/>
        </w:rPr>
        <w:t>.</w:t>
      </w:r>
    </w:p>
    <w:p w14:paraId="5AB1E8ED" w14:textId="020E62F0" w:rsidR="00B45C65" w:rsidRPr="001F7321" w:rsidRDefault="00E62C71" w:rsidP="00F408E1">
      <w:pPr>
        <w:pStyle w:val="ListParagraph"/>
        <w:numPr>
          <w:ilvl w:val="1"/>
          <w:numId w:val="22"/>
        </w:numPr>
        <w:spacing w:after="0" w:line="240" w:lineRule="auto"/>
        <w:ind w:left="851" w:hanging="283"/>
        <w:jc w:val="both"/>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 xml:space="preserve">These two factors were marginally offset </w:t>
      </w:r>
      <w:r w:rsidR="00267917">
        <w:rPr>
          <w:rFonts w:ascii="Brandon Grotesque Regular" w:eastAsiaTheme="minorEastAsia" w:hAnsi="Brandon Grotesque Regular" w:cstheme="minorHAnsi"/>
          <w:color w:val="000000" w:themeColor="text1"/>
          <w:sz w:val="22"/>
          <w:szCs w:val="22"/>
          <w:lang w:val="en-GB" w:bidi="ar-SA"/>
        </w:rPr>
        <w:t>by</w:t>
      </w:r>
      <w:r>
        <w:rPr>
          <w:rFonts w:ascii="Brandon Grotesque Regular" w:eastAsiaTheme="minorEastAsia" w:hAnsi="Brandon Grotesque Regular" w:cstheme="minorHAnsi"/>
          <w:color w:val="000000" w:themeColor="text1"/>
          <w:sz w:val="22"/>
          <w:szCs w:val="22"/>
          <w:lang w:val="en-GB" w:bidi="ar-SA"/>
        </w:rPr>
        <w:t xml:space="preserve"> swap rates – while these are </w:t>
      </w:r>
      <w:proofErr w:type="gramStart"/>
      <w:r>
        <w:rPr>
          <w:rFonts w:ascii="Brandon Grotesque Regular" w:eastAsiaTheme="minorEastAsia" w:hAnsi="Brandon Grotesque Regular" w:cstheme="minorHAnsi"/>
          <w:color w:val="000000" w:themeColor="text1"/>
          <w:sz w:val="22"/>
          <w:szCs w:val="22"/>
          <w:lang w:val="en-GB" w:bidi="ar-SA"/>
        </w:rPr>
        <w:t xml:space="preserve">definitely </w:t>
      </w:r>
      <w:r w:rsidR="003361F3" w:rsidRPr="001F7321">
        <w:rPr>
          <w:rFonts w:ascii="Brandon Grotesque Regular" w:eastAsiaTheme="minorEastAsia" w:hAnsi="Brandon Grotesque Regular" w:cstheme="minorHAnsi"/>
          <w:color w:val="000000" w:themeColor="text1"/>
          <w:sz w:val="22"/>
          <w:szCs w:val="22"/>
          <w:lang w:val="en-GB" w:bidi="ar-SA"/>
        </w:rPr>
        <w:t>stabilising</w:t>
      </w:r>
      <w:proofErr w:type="gramEnd"/>
      <w:r w:rsidR="001F7321">
        <w:rPr>
          <w:rFonts w:ascii="Brandon Grotesque Regular" w:eastAsiaTheme="minorEastAsia" w:hAnsi="Brandon Grotesque Regular" w:cstheme="minorHAnsi"/>
          <w:color w:val="000000" w:themeColor="text1"/>
          <w:sz w:val="22"/>
          <w:szCs w:val="22"/>
          <w:lang w:val="en-GB" w:bidi="ar-SA"/>
        </w:rPr>
        <w:t xml:space="preserve"> -</w:t>
      </w:r>
      <w:r w:rsidR="003361F3" w:rsidRPr="001F7321">
        <w:rPr>
          <w:rFonts w:ascii="Brandon Grotesque Regular" w:eastAsiaTheme="minorEastAsia" w:hAnsi="Brandon Grotesque Regular" w:cstheme="minorHAnsi"/>
          <w:color w:val="000000" w:themeColor="text1"/>
          <w:sz w:val="22"/>
          <w:szCs w:val="22"/>
          <w:lang w:val="en-GB" w:bidi="ar-SA"/>
        </w:rPr>
        <w:t xml:space="preserve"> the </w:t>
      </w:r>
      <w:r w:rsidR="001F7321" w:rsidRPr="001F7321">
        <w:rPr>
          <w:rFonts w:ascii="Brandon Grotesque Regular" w:eastAsiaTheme="minorEastAsia" w:hAnsi="Brandon Grotesque Regular" w:cstheme="minorHAnsi"/>
          <w:color w:val="000000" w:themeColor="text1"/>
          <w:sz w:val="22"/>
          <w:szCs w:val="22"/>
          <w:lang w:val="en-GB" w:bidi="ar-SA"/>
        </w:rPr>
        <w:t>geopolitical</w:t>
      </w:r>
      <w:r w:rsidR="003361F3" w:rsidRPr="001F7321">
        <w:rPr>
          <w:rFonts w:ascii="Brandon Grotesque Regular" w:eastAsiaTheme="minorEastAsia" w:hAnsi="Brandon Grotesque Regular" w:cstheme="minorHAnsi"/>
          <w:color w:val="000000" w:themeColor="text1"/>
          <w:sz w:val="22"/>
          <w:szCs w:val="22"/>
          <w:lang w:val="en-GB" w:bidi="ar-SA"/>
        </w:rPr>
        <w:t xml:space="preserve"> </w:t>
      </w:r>
      <w:r w:rsidR="001F7321">
        <w:rPr>
          <w:rFonts w:ascii="Brandon Grotesque Regular" w:eastAsiaTheme="minorEastAsia" w:hAnsi="Brandon Grotesque Regular" w:cstheme="minorHAnsi"/>
          <w:color w:val="000000" w:themeColor="text1"/>
          <w:sz w:val="22"/>
          <w:szCs w:val="22"/>
          <w:lang w:val="en-GB" w:bidi="ar-SA"/>
        </w:rPr>
        <w:t xml:space="preserve">instability over the </w:t>
      </w:r>
      <w:r w:rsidR="00AF746E">
        <w:rPr>
          <w:rFonts w:ascii="Brandon Grotesque Regular" w:eastAsiaTheme="minorEastAsia" w:hAnsi="Brandon Grotesque Regular" w:cstheme="minorHAnsi"/>
          <w:color w:val="000000" w:themeColor="text1"/>
          <w:sz w:val="22"/>
          <w:szCs w:val="22"/>
          <w:lang w:val="en-GB" w:bidi="ar-SA"/>
        </w:rPr>
        <w:t>half</w:t>
      </w:r>
      <w:r w:rsidR="00526E1F">
        <w:rPr>
          <w:rFonts w:ascii="Brandon Grotesque Regular" w:eastAsiaTheme="minorEastAsia" w:hAnsi="Brandon Grotesque Regular" w:cstheme="minorHAnsi"/>
          <w:color w:val="000000" w:themeColor="text1"/>
          <w:sz w:val="22"/>
          <w:szCs w:val="22"/>
          <w:lang w:val="en-GB" w:bidi="ar-SA"/>
        </w:rPr>
        <w:t>,</w:t>
      </w:r>
      <w:r w:rsidR="003361F3" w:rsidRPr="001F7321">
        <w:rPr>
          <w:rFonts w:ascii="Brandon Grotesque Regular" w:eastAsiaTheme="minorEastAsia" w:hAnsi="Brandon Grotesque Regular" w:cstheme="minorHAnsi"/>
          <w:color w:val="000000" w:themeColor="text1"/>
          <w:sz w:val="22"/>
          <w:szCs w:val="22"/>
          <w:lang w:val="en-GB" w:bidi="ar-SA"/>
        </w:rPr>
        <w:t xml:space="preserve"> </w:t>
      </w:r>
      <w:r w:rsidR="00727381">
        <w:rPr>
          <w:rFonts w:ascii="Brandon Grotesque Regular" w:eastAsiaTheme="minorEastAsia" w:hAnsi="Brandon Grotesque Regular" w:cstheme="minorHAnsi"/>
          <w:color w:val="000000" w:themeColor="text1"/>
          <w:sz w:val="22"/>
          <w:szCs w:val="22"/>
          <w:lang w:val="en-GB" w:bidi="ar-SA"/>
        </w:rPr>
        <w:t>created</w:t>
      </w:r>
      <w:r w:rsidR="003361F3" w:rsidRPr="001F7321">
        <w:rPr>
          <w:rFonts w:ascii="Brandon Grotesque Regular" w:eastAsiaTheme="minorEastAsia" w:hAnsi="Brandon Grotesque Regular" w:cstheme="minorHAnsi"/>
          <w:color w:val="000000" w:themeColor="text1"/>
          <w:sz w:val="22"/>
          <w:szCs w:val="22"/>
          <w:lang w:val="en-GB" w:bidi="ar-SA"/>
        </w:rPr>
        <w:t xml:space="preserve"> periods of </w:t>
      </w:r>
      <w:r w:rsidR="00B979DE" w:rsidRPr="001F7321">
        <w:rPr>
          <w:rFonts w:ascii="Brandon Grotesque Regular" w:eastAsiaTheme="minorEastAsia" w:hAnsi="Brandon Grotesque Regular" w:cstheme="minorHAnsi"/>
          <w:color w:val="000000" w:themeColor="text1"/>
          <w:sz w:val="22"/>
          <w:szCs w:val="22"/>
          <w:lang w:val="en-GB" w:bidi="ar-SA"/>
        </w:rPr>
        <w:t>short-term</w:t>
      </w:r>
      <w:r w:rsidR="00671070">
        <w:rPr>
          <w:rFonts w:ascii="Brandon Grotesque Regular" w:eastAsiaTheme="minorEastAsia" w:hAnsi="Brandon Grotesque Regular" w:cstheme="minorHAnsi"/>
          <w:color w:val="000000" w:themeColor="text1"/>
          <w:sz w:val="22"/>
          <w:szCs w:val="22"/>
          <w:lang w:val="en-GB" w:bidi="ar-SA"/>
        </w:rPr>
        <w:t xml:space="preserve"> </w:t>
      </w:r>
      <w:r w:rsidR="003361F3" w:rsidRPr="001F7321">
        <w:rPr>
          <w:rFonts w:ascii="Brandon Grotesque Regular" w:eastAsiaTheme="minorEastAsia" w:hAnsi="Brandon Grotesque Regular" w:cstheme="minorHAnsi"/>
          <w:color w:val="000000" w:themeColor="text1"/>
          <w:sz w:val="22"/>
          <w:szCs w:val="22"/>
          <w:lang w:val="en-GB" w:bidi="ar-SA"/>
        </w:rPr>
        <w:t xml:space="preserve">volatility </w:t>
      </w:r>
      <w:r>
        <w:rPr>
          <w:rFonts w:ascii="Brandon Grotesque Regular" w:eastAsiaTheme="minorEastAsia" w:hAnsi="Brandon Grotesque Regular" w:cstheme="minorHAnsi"/>
          <w:color w:val="000000" w:themeColor="text1"/>
          <w:sz w:val="22"/>
          <w:szCs w:val="22"/>
          <w:lang w:val="en-GB" w:bidi="ar-SA"/>
        </w:rPr>
        <w:t xml:space="preserve">in swap rates, </w:t>
      </w:r>
      <w:r w:rsidR="003361F3" w:rsidRPr="001F7321">
        <w:rPr>
          <w:rFonts w:ascii="Brandon Grotesque Regular" w:eastAsiaTheme="minorEastAsia" w:hAnsi="Brandon Grotesque Regular" w:cstheme="minorHAnsi"/>
          <w:color w:val="000000" w:themeColor="text1"/>
          <w:sz w:val="22"/>
          <w:szCs w:val="22"/>
          <w:lang w:val="en-GB" w:bidi="ar-SA"/>
        </w:rPr>
        <w:t xml:space="preserve">which </w:t>
      </w:r>
      <w:r w:rsidR="001F7321" w:rsidRPr="001F7321">
        <w:rPr>
          <w:rFonts w:ascii="Brandon Grotesque Regular" w:eastAsiaTheme="minorEastAsia" w:hAnsi="Brandon Grotesque Regular" w:cstheme="minorHAnsi"/>
          <w:color w:val="000000" w:themeColor="text1"/>
          <w:sz w:val="22"/>
          <w:szCs w:val="22"/>
          <w:lang w:bidi="ar-SA"/>
        </w:rPr>
        <w:t>impacted NIM by (</w:t>
      </w:r>
      <w:r w:rsidR="00B636A9">
        <w:rPr>
          <w:rFonts w:ascii="Brandon Grotesque Regular" w:eastAsiaTheme="minorEastAsia" w:hAnsi="Brandon Grotesque Regular" w:cstheme="minorHAnsi"/>
          <w:color w:val="000000" w:themeColor="text1"/>
          <w:sz w:val="22"/>
          <w:szCs w:val="22"/>
          <w:lang w:bidi="ar-SA"/>
        </w:rPr>
        <w:t>31</w:t>
      </w:r>
      <w:r w:rsidR="001F7321" w:rsidRPr="001F7321">
        <w:rPr>
          <w:rFonts w:ascii="Brandon Grotesque Regular" w:eastAsiaTheme="minorEastAsia" w:hAnsi="Brandon Grotesque Regular" w:cstheme="minorHAnsi"/>
          <w:color w:val="000000" w:themeColor="text1"/>
          <w:sz w:val="22"/>
          <w:szCs w:val="22"/>
          <w:lang w:bidi="ar-SA"/>
        </w:rPr>
        <w:t>)</w:t>
      </w:r>
      <w:r w:rsidR="00276A05" w:rsidRPr="00276A05">
        <w:rPr>
          <w:rFonts w:ascii="Brandon Grotesque Regular" w:eastAsiaTheme="minorEastAsia" w:hAnsi="Brandon Grotesque Regular" w:cstheme="minorHAnsi"/>
          <w:color w:val="000000" w:themeColor="text1"/>
          <w:sz w:val="22"/>
          <w:szCs w:val="22"/>
          <w:lang w:val="en-GB" w:bidi="ar-SA"/>
        </w:rPr>
        <w:t xml:space="preserve"> </w:t>
      </w:r>
      <w:r w:rsidR="00276A05">
        <w:rPr>
          <w:rFonts w:ascii="Brandon Grotesque Regular" w:eastAsiaTheme="minorEastAsia" w:hAnsi="Brandon Grotesque Regular" w:cstheme="minorHAnsi"/>
          <w:color w:val="000000" w:themeColor="text1"/>
          <w:sz w:val="22"/>
          <w:szCs w:val="22"/>
          <w:lang w:val="en-GB" w:bidi="ar-SA"/>
        </w:rPr>
        <w:t>basis points</w:t>
      </w:r>
      <w:r w:rsidR="00276A05">
        <w:rPr>
          <w:rFonts w:ascii="Brandon Grotesque Regular" w:eastAsiaTheme="minorEastAsia" w:hAnsi="Brandon Grotesque Regular" w:cstheme="minorHAnsi"/>
          <w:color w:val="000000" w:themeColor="text1"/>
          <w:sz w:val="22"/>
          <w:szCs w:val="22"/>
          <w:lang w:bidi="ar-SA"/>
        </w:rPr>
        <w:t xml:space="preserve"> </w:t>
      </w:r>
      <w:r w:rsidR="001F7321">
        <w:rPr>
          <w:rFonts w:ascii="Brandon Grotesque Regular" w:eastAsiaTheme="minorEastAsia" w:hAnsi="Brandon Grotesque Regular" w:cstheme="minorHAnsi"/>
          <w:color w:val="000000" w:themeColor="text1"/>
          <w:sz w:val="22"/>
          <w:szCs w:val="22"/>
          <w:lang w:bidi="ar-SA"/>
        </w:rPr>
        <w:t xml:space="preserve">when compared to PCP. </w:t>
      </w:r>
      <w:r w:rsidR="001F7321" w:rsidRPr="001F7321">
        <w:rPr>
          <w:rFonts w:ascii="Brandon Grotesque Regular" w:eastAsiaTheme="minorEastAsia" w:hAnsi="Brandon Grotesque Regular" w:cstheme="minorHAnsi"/>
          <w:color w:val="000000" w:themeColor="text1"/>
          <w:sz w:val="22"/>
          <w:szCs w:val="22"/>
          <w:lang w:bidi="ar-SA"/>
        </w:rPr>
        <w:t xml:space="preserve"> </w:t>
      </w:r>
      <w:r w:rsidR="00B45C65" w:rsidRPr="001F7321">
        <w:rPr>
          <w:rFonts w:ascii="Brandon Grotesque Regular" w:eastAsiaTheme="minorEastAsia" w:hAnsi="Brandon Grotesque Regular" w:cstheme="minorHAnsi"/>
          <w:color w:val="000000" w:themeColor="text1"/>
          <w:sz w:val="22"/>
          <w:szCs w:val="22"/>
          <w:lang w:bidi="ar-SA"/>
        </w:rPr>
        <w:t xml:space="preserve"> </w:t>
      </w:r>
    </w:p>
    <w:p w14:paraId="3949C681" w14:textId="77777777" w:rsidR="001F7321" w:rsidRDefault="001F7321" w:rsidP="00F408E1">
      <w:pPr>
        <w:spacing w:after="0" w:line="240" w:lineRule="auto"/>
        <w:jc w:val="both"/>
        <w:rPr>
          <w:rFonts w:ascii="Brandon Grotesque Regular" w:eastAsiaTheme="minorEastAsia" w:hAnsi="Brandon Grotesque Regular" w:cstheme="minorHAnsi"/>
          <w:color w:val="000000" w:themeColor="text1"/>
          <w:sz w:val="22"/>
          <w:szCs w:val="22"/>
          <w:lang w:bidi="ar-SA"/>
        </w:rPr>
      </w:pPr>
    </w:p>
    <w:p w14:paraId="0467B461" w14:textId="377832E5" w:rsidR="001F7321" w:rsidRPr="00F408E1" w:rsidRDefault="001F7321"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bookmarkStart w:id="8" w:name="_Hlk159661632"/>
      <w:r w:rsidRPr="00F408E1">
        <w:rPr>
          <w:rFonts w:ascii="Brandon Grotesque Regular" w:eastAsiaTheme="minorEastAsia" w:hAnsi="Brandon Grotesque Regular" w:cstheme="minorHAnsi"/>
          <w:color w:val="000000" w:themeColor="text1"/>
          <w:sz w:val="22"/>
          <w:szCs w:val="22"/>
          <w:lang w:val="en-GB" w:bidi="ar-SA"/>
        </w:rPr>
        <w:t>Now to credit performance, starting on slide 13.</w:t>
      </w:r>
    </w:p>
    <w:p w14:paraId="01F86210" w14:textId="77777777" w:rsidR="00267917" w:rsidRPr="00073425" w:rsidRDefault="00267917" w:rsidP="00F408E1">
      <w:pPr>
        <w:spacing w:after="0" w:line="240" w:lineRule="auto"/>
        <w:rPr>
          <w:rFonts w:ascii="Brandon Grotesque Regular" w:eastAsiaTheme="minorEastAsia" w:hAnsi="Brandon Grotesque Regular" w:cstheme="minorHAnsi"/>
          <w:b/>
          <w:bCs/>
          <w:color w:val="000000" w:themeColor="text1"/>
          <w:sz w:val="22"/>
          <w:szCs w:val="22"/>
          <w:lang w:val="en-GB" w:bidi="ar-SA"/>
        </w:rPr>
      </w:pPr>
    </w:p>
    <w:bookmarkEnd w:id="8"/>
    <w:p w14:paraId="1B48630F" w14:textId="4130AAF0" w:rsidR="00C349B6" w:rsidRPr="00F408E1" w:rsidRDefault="00C349B6"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13</w:t>
      </w:r>
    </w:p>
    <w:p w14:paraId="2589C6A4" w14:textId="77777777" w:rsidR="00F408E1" w:rsidRDefault="00F408E1"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6878E3CA" w14:textId="127820AA" w:rsidR="005C3374" w:rsidRPr="00996624" w:rsidRDefault="00E8103E"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Starting with Loan Loss provisions</w:t>
      </w:r>
      <w:r w:rsidR="005C3374" w:rsidRPr="00996624">
        <w:rPr>
          <w:rFonts w:ascii="Brandon Grotesque Regular" w:eastAsiaTheme="minorEastAsia" w:hAnsi="Brandon Grotesque Regular" w:cstheme="minorHAnsi"/>
          <w:color w:val="000000" w:themeColor="text1"/>
          <w:sz w:val="22"/>
          <w:szCs w:val="22"/>
          <w:lang w:val="en-GB" w:bidi="ar-SA"/>
        </w:rPr>
        <w:t xml:space="preserve"> - Total Provisions at $124.7 million increased by $3.9 million versus PCP</w:t>
      </w:r>
    </w:p>
    <w:p w14:paraId="1511664F" w14:textId="77777777" w:rsidR="005C3374" w:rsidRPr="00996624" w:rsidRDefault="005C3374"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651D6B15" w14:textId="58BDA80B" w:rsidR="005C3374" w:rsidRPr="00996624" w:rsidRDefault="005C3374"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As we commented at the time of our full year results in February - the mortgage market has proven to be very resilient.  Our Mortgage customers continue to manage extremely well, and some customers are using RBA rate cuts </w:t>
      </w:r>
      <w:proofErr w:type="gramStart"/>
      <w:r w:rsidRPr="00996624">
        <w:rPr>
          <w:rFonts w:ascii="Brandon Grotesque Regular" w:eastAsiaTheme="minorEastAsia" w:hAnsi="Brandon Grotesque Regular" w:cstheme="minorHAnsi"/>
          <w:color w:val="000000" w:themeColor="text1"/>
          <w:sz w:val="22"/>
          <w:szCs w:val="22"/>
          <w:lang w:val="en-GB" w:bidi="ar-SA"/>
        </w:rPr>
        <w:t>as a way to</w:t>
      </w:r>
      <w:proofErr w:type="gramEnd"/>
      <w:r w:rsidRPr="00996624">
        <w:rPr>
          <w:rFonts w:ascii="Brandon Grotesque Regular" w:eastAsiaTheme="minorEastAsia" w:hAnsi="Brandon Grotesque Regular" w:cstheme="minorHAnsi"/>
          <w:color w:val="000000" w:themeColor="text1"/>
          <w:sz w:val="22"/>
          <w:szCs w:val="22"/>
          <w:lang w:val="en-GB" w:bidi="ar-SA"/>
        </w:rPr>
        <w:t xml:space="preserve"> get ahead – by not adjusting their loan repayments – as we pass through OCR reductions.</w:t>
      </w:r>
    </w:p>
    <w:p w14:paraId="476CE23F" w14:textId="77777777" w:rsidR="00E8103E" w:rsidRPr="00996624" w:rsidRDefault="00E8103E"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bookmarkStart w:id="9" w:name="_Hlk175235020"/>
    </w:p>
    <w:bookmarkEnd w:id="9"/>
    <w:p w14:paraId="37306301" w14:textId="5C16639B" w:rsidR="00E8103E" w:rsidRPr="00B979DE" w:rsidRDefault="00697744" w:rsidP="00F408E1">
      <w:pPr>
        <w:rPr>
          <w:rFonts w:ascii="Brandon Grotesque Regular" w:hAnsi="Brandon Grotesque Regular"/>
          <w:sz w:val="22"/>
          <w:szCs w:val="22"/>
        </w:rPr>
      </w:pPr>
      <w:r w:rsidRPr="00996624">
        <w:rPr>
          <w:rFonts w:ascii="Brandon Grotesque Regular" w:eastAsiaTheme="minorEastAsia" w:hAnsi="Brandon Grotesque Regular" w:cstheme="minorHAnsi"/>
          <w:color w:val="000000" w:themeColor="text1"/>
          <w:sz w:val="22"/>
          <w:szCs w:val="22"/>
          <w:lang w:val="en-GB" w:bidi="ar-SA"/>
        </w:rPr>
        <w:t xml:space="preserve">The increase in </w:t>
      </w:r>
      <w:r w:rsidR="00E8103E" w:rsidRPr="00996624">
        <w:rPr>
          <w:rFonts w:ascii="Brandon Grotesque Regular" w:eastAsiaTheme="minorEastAsia" w:hAnsi="Brandon Grotesque Regular" w:cstheme="minorHAnsi"/>
          <w:color w:val="000000" w:themeColor="text1"/>
          <w:sz w:val="22"/>
          <w:szCs w:val="22"/>
          <w:lang w:val="en-GB" w:bidi="ar-SA"/>
        </w:rPr>
        <w:t>Loan Loss Provisions</w:t>
      </w:r>
      <w:r w:rsidR="00E8103E" w:rsidRPr="00996624">
        <w:rPr>
          <w:rFonts w:ascii="Brandon Grotesque Regular" w:hAnsi="Brandon Grotesque Regular"/>
          <w:sz w:val="22"/>
          <w:szCs w:val="22"/>
        </w:rPr>
        <w:t xml:space="preserve"> </w:t>
      </w:r>
      <w:r w:rsidRPr="00996624">
        <w:rPr>
          <w:rFonts w:ascii="Brandon Grotesque Regular" w:hAnsi="Brandon Grotesque Regular"/>
          <w:sz w:val="22"/>
          <w:szCs w:val="22"/>
        </w:rPr>
        <w:t>of</w:t>
      </w:r>
      <w:r w:rsidR="00E8103E" w:rsidRPr="00996624">
        <w:rPr>
          <w:rFonts w:ascii="Brandon Grotesque Regular" w:hAnsi="Brandon Grotesque Regular"/>
          <w:sz w:val="22"/>
          <w:szCs w:val="22"/>
        </w:rPr>
        <w:t xml:space="preserve"> 3% over </w:t>
      </w:r>
      <w:r w:rsidR="001303AF">
        <w:rPr>
          <w:rFonts w:ascii="Brandon Grotesque Regular" w:hAnsi="Brandon Grotesque Regular"/>
          <w:sz w:val="22"/>
          <w:szCs w:val="22"/>
        </w:rPr>
        <w:t>June 2024</w:t>
      </w:r>
      <w:r w:rsidRPr="00996624">
        <w:rPr>
          <w:rFonts w:ascii="Brandon Grotesque Regular" w:hAnsi="Brandon Grotesque Regular"/>
          <w:sz w:val="22"/>
          <w:szCs w:val="22"/>
        </w:rPr>
        <w:t xml:space="preserve"> was</w:t>
      </w:r>
      <w:r w:rsidR="00E8103E" w:rsidRPr="00996624">
        <w:rPr>
          <w:rFonts w:ascii="Brandon Grotesque Regular" w:hAnsi="Brandon Grotesque Regular"/>
          <w:sz w:val="22"/>
          <w:szCs w:val="22"/>
        </w:rPr>
        <w:t xml:space="preserve"> largely following the movement in Asset Finance AUM</w:t>
      </w:r>
      <w:r w:rsidR="00E8103E" w:rsidRPr="00B979DE">
        <w:rPr>
          <w:rFonts w:ascii="Brandon Grotesque Regular" w:hAnsi="Brandon Grotesque Regular"/>
          <w:sz w:val="22"/>
          <w:szCs w:val="22"/>
        </w:rPr>
        <w:t>.</w:t>
      </w:r>
    </w:p>
    <w:p w14:paraId="6FCBF293" w14:textId="7384E787" w:rsidR="00697744" w:rsidRPr="00B979DE" w:rsidRDefault="00697744" w:rsidP="00F408E1">
      <w:pPr>
        <w:pStyle w:val="ListParagraph"/>
        <w:numPr>
          <w:ilvl w:val="0"/>
          <w:numId w:val="16"/>
        </w:numPr>
        <w:autoSpaceDE w:val="0"/>
        <w:autoSpaceDN w:val="0"/>
        <w:adjustRightInd w:val="0"/>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Asset Finance Loan Loss Provision</w:t>
      </w:r>
      <w:r w:rsidR="0012198D" w:rsidRPr="00B979DE">
        <w:rPr>
          <w:rFonts w:ascii="Brandon Grotesque Regular" w:eastAsiaTheme="minorEastAsia" w:hAnsi="Brandon Grotesque Regular" w:cstheme="minorHAnsi"/>
          <w:color w:val="000000" w:themeColor="text1"/>
          <w:sz w:val="22"/>
          <w:szCs w:val="22"/>
          <w:lang w:val="en-GB" w:bidi="ar-SA"/>
        </w:rPr>
        <w:t>s</w:t>
      </w:r>
      <w:r w:rsidRPr="00B979DE">
        <w:rPr>
          <w:rFonts w:ascii="Brandon Grotesque Regular" w:eastAsiaTheme="minorEastAsia" w:hAnsi="Brandon Grotesque Regular" w:cstheme="minorHAnsi"/>
          <w:color w:val="000000" w:themeColor="text1"/>
          <w:sz w:val="22"/>
          <w:szCs w:val="22"/>
          <w:lang w:val="en-GB" w:bidi="ar-SA"/>
        </w:rPr>
        <w:t xml:space="preserve"> increased by $18.6 million in total </w:t>
      </w:r>
      <w:r w:rsidR="001303AF" w:rsidRPr="00B979DE">
        <w:rPr>
          <w:rFonts w:ascii="Brandon Grotesque Regular" w:eastAsiaTheme="minorEastAsia" w:hAnsi="Brandon Grotesque Regular" w:cstheme="minorHAnsi"/>
          <w:color w:val="000000" w:themeColor="text1"/>
          <w:sz w:val="22"/>
          <w:szCs w:val="22"/>
          <w:lang w:val="en-GB" w:bidi="ar-SA"/>
        </w:rPr>
        <w:t>versus June 2024</w:t>
      </w:r>
      <w:r w:rsidRPr="00B979DE">
        <w:rPr>
          <w:rFonts w:ascii="Brandon Grotesque Regular" w:eastAsiaTheme="minorEastAsia" w:hAnsi="Brandon Grotesque Regular" w:cstheme="minorHAnsi"/>
          <w:color w:val="000000" w:themeColor="text1"/>
          <w:sz w:val="22"/>
          <w:szCs w:val="22"/>
          <w:lang w:val="en-GB" w:bidi="ar-SA"/>
        </w:rPr>
        <w:t xml:space="preserve">.  Key movement </w:t>
      </w:r>
      <w:r w:rsidR="001303AF" w:rsidRPr="00B979DE">
        <w:rPr>
          <w:rFonts w:ascii="Brandon Grotesque Regular" w:eastAsiaTheme="minorEastAsia" w:hAnsi="Brandon Grotesque Regular" w:cstheme="minorHAnsi"/>
          <w:color w:val="000000" w:themeColor="text1"/>
          <w:sz w:val="22"/>
          <w:szCs w:val="22"/>
          <w:lang w:val="en-GB" w:bidi="ar-SA"/>
        </w:rPr>
        <w:t>was</w:t>
      </w:r>
      <w:r w:rsidRPr="00B979DE">
        <w:rPr>
          <w:rFonts w:ascii="Brandon Grotesque Regular" w:eastAsiaTheme="minorEastAsia" w:hAnsi="Brandon Grotesque Regular" w:cstheme="minorHAnsi"/>
          <w:color w:val="000000" w:themeColor="text1"/>
          <w:sz w:val="22"/>
          <w:szCs w:val="22"/>
          <w:lang w:val="en-GB" w:bidi="ar-SA"/>
        </w:rPr>
        <w:t xml:space="preserve"> in </w:t>
      </w:r>
      <w:r w:rsidR="001303AF" w:rsidRPr="00B979DE">
        <w:rPr>
          <w:rFonts w:ascii="Brandon Grotesque Regular" w:eastAsiaTheme="minorEastAsia" w:hAnsi="Brandon Grotesque Regular" w:cstheme="minorHAnsi"/>
          <w:color w:val="000000" w:themeColor="text1"/>
          <w:sz w:val="22"/>
          <w:szCs w:val="22"/>
          <w:lang w:val="en-GB" w:bidi="ar-SA"/>
        </w:rPr>
        <w:t xml:space="preserve">the </w:t>
      </w:r>
      <w:r w:rsidRPr="00B979DE">
        <w:rPr>
          <w:rFonts w:ascii="Brandon Grotesque Regular" w:eastAsiaTheme="minorEastAsia" w:hAnsi="Brandon Grotesque Regular" w:cstheme="minorHAnsi"/>
          <w:color w:val="000000" w:themeColor="text1"/>
          <w:sz w:val="22"/>
          <w:szCs w:val="22"/>
          <w:lang w:val="en-GB" w:bidi="ar-SA"/>
        </w:rPr>
        <w:t>Collective provision</w:t>
      </w:r>
      <w:r w:rsidR="001303AF" w:rsidRPr="00B979DE">
        <w:rPr>
          <w:rFonts w:ascii="Brandon Grotesque Regular" w:eastAsiaTheme="minorEastAsia" w:hAnsi="Brandon Grotesque Regular" w:cstheme="minorHAnsi"/>
          <w:color w:val="000000" w:themeColor="text1"/>
          <w:sz w:val="22"/>
          <w:szCs w:val="22"/>
          <w:lang w:val="en-GB" w:bidi="ar-SA"/>
        </w:rPr>
        <w:t xml:space="preserve"> </w:t>
      </w:r>
      <w:proofErr w:type="gramStart"/>
      <w:r w:rsidR="001303AF"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hAnsi="Brandon Grotesque Regular" w:cs="Arial"/>
          <w:sz w:val="22"/>
          <w:szCs w:val="22"/>
        </w:rPr>
        <w:t>inclusive</w:t>
      </w:r>
      <w:proofErr w:type="gramEnd"/>
      <w:r w:rsidRPr="00B979DE">
        <w:rPr>
          <w:rFonts w:ascii="Brandon Grotesque Regular" w:hAnsi="Brandon Grotesque Regular" w:cs="Arial"/>
          <w:sz w:val="22"/>
          <w:szCs w:val="22"/>
        </w:rPr>
        <w:t xml:space="preserve"> of Post Model Overlay</w:t>
      </w:r>
      <w:r w:rsidR="001303AF" w:rsidRPr="00B979DE">
        <w:rPr>
          <w:rFonts w:ascii="Brandon Grotesque Regular" w:hAnsi="Brandon Grotesque Regular" w:cs="Arial"/>
          <w:sz w:val="22"/>
          <w:szCs w:val="22"/>
        </w:rPr>
        <w:t xml:space="preserve"> - </w:t>
      </w:r>
      <w:r w:rsidRPr="00B979DE">
        <w:rPr>
          <w:rFonts w:ascii="Brandon Grotesque Regular" w:hAnsi="Brandon Grotesque Regular" w:cs="Arial"/>
          <w:sz w:val="22"/>
          <w:szCs w:val="22"/>
        </w:rPr>
        <w:t xml:space="preserve">which increased over </w:t>
      </w:r>
      <w:r w:rsidR="001303AF" w:rsidRPr="00B979DE">
        <w:rPr>
          <w:rFonts w:ascii="Brandon Grotesque Regular" w:hAnsi="Brandon Grotesque Regular" w:cs="Arial"/>
          <w:sz w:val="22"/>
          <w:szCs w:val="22"/>
        </w:rPr>
        <w:t>PCP</w:t>
      </w:r>
      <w:r w:rsidRPr="00B979DE">
        <w:rPr>
          <w:rFonts w:ascii="Brandon Grotesque Regular" w:hAnsi="Brandon Grotesque Regular" w:cs="Arial"/>
          <w:sz w:val="22"/>
          <w:szCs w:val="22"/>
        </w:rPr>
        <w:t xml:space="preserve">, given the writeback </w:t>
      </w:r>
      <w:r w:rsidR="001303AF" w:rsidRPr="00B979DE">
        <w:rPr>
          <w:rFonts w:ascii="Brandon Grotesque Regular" w:hAnsi="Brandon Grotesque Regular" w:cs="Arial"/>
          <w:sz w:val="22"/>
          <w:szCs w:val="22"/>
        </w:rPr>
        <w:t xml:space="preserve">- </w:t>
      </w:r>
      <w:r w:rsidRPr="00B979DE">
        <w:rPr>
          <w:rFonts w:ascii="Brandon Grotesque Regular" w:hAnsi="Brandon Grotesque Regular" w:cs="Arial"/>
          <w:sz w:val="22"/>
          <w:szCs w:val="22"/>
        </w:rPr>
        <w:t xml:space="preserve">in </w:t>
      </w:r>
      <w:r w:rsidR="001303AF" w:rsidRPr="00B979DE">
        <w:rPr>
          <w:rFonts w:ascii="Brandon Grotesque Regular" w:hAnsi="Brandon Grotesque Regular" w:cs="Arial"/>
          <w:sz w:val="22"/>
          <w:szCs w:val="22"/>
        </w:rPr>
        <w:t>the first half of</w:t>
      </w:r>
      <w:r w:rsidR="00E62C71" w:rsidRPr="00B979DE">
        <w:rPr>
          <w:rFonts w:ascii="Brandon Grotesque Regular" w:hAnsi="Brandon Grotesque Regular" w:cs="Arial"/>
          <w:sz w:val="22"/>
          <w:szCs w:val="22"/>
        </w:rPr>
        <w:t xml:space="preserve"> </w:t>
      </w:r>
      <w:r w:rsidRPr="00B979DE">
        <w:rPr>
          <w:rFonts w:ascii="Brandon Grotesque Regular" w:hAnsi="Brandon Grotesque Regular" w:cs="Arial"/>
          <w:sz w:val="22"/>
          <w:szCs w:val="22"/>
        </w:rPr>
        <w:t xml:space="preserve">2024 </w:t>
      </w:r>
      <w:r w:rsidR="001303AF" w:rsidRPr="00B979DE">
        <w:rPr>
          <w:rFonts w:ascii="Brandon Grotesque Regular" w:hAnsi="Brandon Grotesque Regular" w:cs="Arial"/>
          <w:sz w:val="22"/>
          <w:szCs w:val="22"/>
        </w:rPr>
        <w:t xml:space="preserve">- </w:t>
      </w:r>
      <w:r w:rsidRPr="00B979DE">
        <w:rPr>
          <w:rFonts w:ascii="Brandon Grotesque Regular" w:hAnsi="Brandon Grotesque Regular" w:cs="Arial"/>
          <w:sz w:val="22"/>
          <w:szCs w:val="22"/>
        </w:rPr>
        <w:t xml:space="preserve">of Collective </w:t>
      </w:r>
      <w:r w:rsidR="001303AF" w:rsidRPr="00B979DE">
        <w:rPr>
          <w:rFonts w:ascii="Brandon Grotesque Regular" w:hAnsi="Brandon Grotesque Regular" w:cs="Arial"/>
          <w:sz w:val="22"/>
          <w:szCs w:val="22"/>
        </w:rPr>
        <w:t>p</w:t>
      </w:r>
      <w:r w:rsidRPr="00B979DE">
        <w:rPr>
          <w:rFonts w:ascii="Brandon Grotesque Regular" w:hAnsi="Brandon Grotesque Regular" w:cs="Arial"/>
          <w:sz w:val="22"/>
          <w:szCs w:val="22"/>
        </w:rPr>
        <w:t>rovisions following the execution of</w:t>
      </w:r>
      <w:r w:rsidR="001303AF" w:rsidRPr="00B979DE">
        <w:rPr>
          <w:rFonts w:ascii="Brandon Grotesque Regular" w:hAnsi="Brandon Grotesque Regular" w:cs="Arial"/>
          <w:sz w:val="22"/>
          <w:szCs w:val="22"/>
        </w:rPr>
        <w:t xml:space="preserve"> a</w:t>
      </w:r>
      <w:r w:rsidRPr="00B979DE">
        <w:rPr>
          <w:rFonts w:ascii="Brandon Grotesque Regular" w:hAnsi="Brandon Grotesque Regular" w:cs="Arial"/>
          <w:sz w:val="22"/>
          <w:szCs w:val="22"/>
        </w:rPr>
        <w:t xml:space="preserve"> </w:t>
      </w:r>
      <w:r w:rsidR="00E62C71" w:rsidRPr="00B979DE">
        <w:rPr>
          <w:rFonts w:ascii="Brandon Grotesque Regular" w:hAnsi="Brandon Grotesque Regular" w:cs="Arial"/>
          <w:sz w:val="22"/>
          <w:szCs w:val="22"/>
        </w:rPr>
        <w:t>half a billion</w:t>
      </w:r>
      <w:r w:rsidRPr="00B979DE">
        <w:rPr>
          <w:rFonts w:ascii="Brandon Grotesque Regular" w:hAnsi="Brandon Grotesque Regular" w:cs="Arial"/>
          <w:sz w:val="22"/>
          <w:szCs w:val="22"/>
        </w:rPr>
        <w:t xml:space="preserve"> Whole Loan Sale</w:t>
      </w:r>
      <w:r w:rsidR="00E62C71" w:rsidRPr="00B979DE">
        <w:rPr>
          <w:rFonts w:ascii="Brandon Grotesque Regular" w:hAnsi="Brandon Grotesque Regular" w:cs="Arial"/>
          <w:sz w:val="22"/>
          <w:szCs w:val="22"/>
        </w:rPr>
        <w:t xml:space="preserve"> </w:t>
      </w:r>
      <w:r w:rsidR="0012198D" w:rsidRPr="00B979DE">
        <w:rPr>
          <w:rFonts w:ascii="Brandon Grotesque Regular" w:hAnsi="Brandon Grotesque Regular" w:cs="Arial"/>
          <w:sz w:val="22"/>
          <w:szCs w:val="22"/>
        </w:rPr>
        <w:t xml:space="preserve">which </w:t>
      </w:r>
      <w:r w:rsidR="00E62C71" w:rsidRPr="00B979DE">
        <w:rPr>
          <w:rFonts w:ascii="Brandon Grotesque Regular" w:hAnsi="Brandon Grotesque Regular" w:cs="Arial"/>
          <w:sz w:val="22"/>
          <w:szCs w:val="22"/>
        </w:rPr>
        <w:t xml:space="preserve">settled </w:t>
      </w:r>
      <w:r w:rsidRPr="00B979DE">
        <w:rPr>
          <w:rFonts w:ascii="Brandon Grotesque Regular" w:hAnsi="Brandon Grotesque Regular" w:cs="Arial"/>
          <w:sz w:val="22"/>
          <w:szCs w:val="22"/>
        </w:rPr>
        <w:t xml:space="preserve">May 2024. </w:t>
      </w:r>
      <w:r w:rsidR="00E62C71" w:rsidRPr="00B979DE">
        <w:rPr>
          <w:rFonts w:ascii="Brandon Grotesque Regular" w:hAnsi="Brandon Grotesque Regular" w:cs="Arial"/>
          <w:sz w:val="22"/>
          <w:szCs w:val="22"/>
        </w:rPr>
        <w:t xml:space="preserve"> The i</w:t>
      </w:r>
      <w:r w:rsidRPr="00B979DE">
        <w:rPr>
          <w:rFonts w:ascii="Brandon Grotesque Regular" w:hAnsi="Brandon Grotesque Regular" w:cs="Arial"/>
          <w:sz w:val="22"/>
          <w:szCs w:val="22"/>
        </w:rPr>
        <w:t>ncrease in Collective was partially offset by Specifics as late-stage arrears continue to improve following the spike in insolvencies experienced in late 2023</w:t>
      </w:r>
      <w:r w:rsidR="00267917" w:rsidRPr="00B979DE">
        <w:rPr>
          <w:rFonts w:ascii="Brandon Grotesque Regular" w:hAnsi="Brandon Grotesque Regular" w:cs="Arial"/>
          <w:sz w:val="22"/>
          <w:szCs w:val="22"/>
        </w:rPr>
        <w:t xml:space="preserve"> and</w:t>
      </w:r>
      <w:r w:rsidRPr="00B979DE">
        <w:rPr>
          <w:rFonts w:ascii="Brandon Grotesque Regular" w:hAnsi="Brandon Grotesque Regular" w:cs="Arial"/>
          <w:sz w:val="22"/>
          <w:szCs w:val="22"/>
        </w:rPr>
        <w:t xml:space="preserve"> </w:t>
      </w:r>
      <w:r w:rsidR="00E62C71" w:rsidRPr="00B979DE">
        <w:rPr>
          <w:rFonts w:ascii="Brandon Grotesque Regular" w:hAnsi="Brandon Grotesque Regular" w:cs="Arial"/>
          <w:sz w:val="22"/>
          <w:szCs w:val="22"/>
        </w:rPr>
        <w:t xml:space="preserve">into </w:t>
      </w:r>
      <w:r w:rsidR="0012198D" w:rsidRPr="00B979DE">
        <w:rPr>
          <w:rFonts w:ascii="Brandon Grotesque Regular" w:hAnsi="Brandon Grotesque Regular" w:cs="Arial"/>
          <w:sz w:val="22"/>
          <w:szCs w:val="22"/>
        </w:rPr>
        <w:t>the f</w:t>
      </w:r>
      <w:r w:rsidR="00E62C71" w:rsidRPr="00B979DE">
        <w:rPr>
          <w:rFonts w:ascii="Brandon Grotesque Regular" w:hAnsi="Brandon Grotesque Regular" w:cs="Arial"/>
          <w:sz w:val="22"/>
          <w:szCs w:val="22"/>
        </w:rPr>
        <w:t>irst half</w:t>
      </w:r>
      <w:r w:rsidRPr="00B979DE">
        <w:rPr>
          <w:rFonts w:ascii="Brandon Grotesque Regular" w:hAnsi="Brandon Grotesque Regular" w:cs="Arial"/>
          <w:sz w:val="22"/>
          <w:szCs w:val="22"/>
        </w:rPr>
        <w:t xml:space="preserve"> </w:t>
      </w:r>
      <w:r w:rsidR="0012198D" w:rsidRPr="00B979DE">
        <w:rPr>
          <w:rFonts w:ascii="Brandon Grotesque Regular" w:hAnsi="Brandon Grotesque Regular" w:cs="Arial"/>
          <w:sz w:val="22"/>
          <w:szCs w:val="22"/>
        </w:rPr>
        <w:t xml:space="preserve">of </w:t>
      </w:r>
      <w:r w:rsidRPr="00B979DE">
        <w:rPr>
          <w:rFonts w:ascii="Brandon Grotesque Regular" w:hAnsi="Brandon Grotesque Regular" w:cs="Arial"/>
          <w:sz w:val="22"/>
          <w:szCs w:val="22"/>
        </w:rPr>
        <w:t xml:space="preserve">2024. </w:t>
      </w:r>
      <w:r w:rsidRPr="00B979DE">
        <w:rPr>
          <w:rFonts w:ascii="Brandon Grotesque Regular" w:eastAsiaTheme="minorEastAsia" w:hAnsi="Brandon Grotesque Regular" w:cstheme="minorHAnsi"/>
          <w:color w:val="000000" w:themeColor="text1"/>
          <w:sz w:val="22"/>
          <w:szCs w:val="22"/>
          <w:lang w:val="en-GB" w:bidi="ar-SA"/>
        </w:rPr>
        <w:t xml:space="preserve">The net changes in Provisions resulted in our Coverage Ratio for Asset Finance increasing to 1.71 per cent up from 1.57 per cent June 2024 and up from 1.70 per cent as at December </w:t>
      </w:r>
      <w:r w:rsidR="00E62C71" w:rsidRPr="00B979DE">
        <w:rPr>
          <w:rFonts w:ascii="Brandon Grotesque Regular" w:eastAsiaTheme="minorEastAsia" w:hAnsi="Brandon Grotesque Regular" w:cstheme="minorHAnsi"/>
          <w:color w:val="000000" w:themeColor="text1"/>
          <w:sz w:val="22"/>
          <w:szCs w:val="22"/>
          <w:lang w:val="en-GB" w:bidi="ar-SA"/>
        </w:rPr>
        <w:t>year end</w:t>
      </w:r>
      <w:r w:rsidRPr="00B979DE">
        <w:rPr>
          <w:rFonts w:ascii="Brandon Grotesque Regular" w:eastAsiaTheme="minorEastAsia" w:hAnsi="Brandon Grotesque Regular" w:cstheme="minorHAnsi"/>
          <w:color w:val="000000" w:themeColor="text1"/>
          <w:sz w:val="22"/>
          <w:szCs w:val="22"/>
          <w:lang w:val="en-GB" w:bidi="ar-SA"/>
        </w:rPr>
        <w:t>.  Over the same periods, Asset Finance AUM has increased</w:t>
      </w:r>
      <w:r w:rsidR="001303AF" w:rsidRPr="00B979DE">
        <w:rPr>
          <w:rFonts w:ascii="Brandon Grotesque Regular" w:eastAsiaTheme="minorEastAsia" w:hAnsi="Brandon Grotesque Regular" w:cstheme="minorHAnsi"/>
          <w:color w:val="000000" w:themeColor="text1"/>
          <w:sz w:val="22"/>
          <w:szCs w:val="22"/>
          <w:lang w:val="en-GB" w:bidi="ar-SA"/>
        </w:rPr>
        <w:t xml:space="preserve"> by 11% and 12% respectively. </w:t>
      </w:r>
    </w:p>
    <w:p w14:paraId="0C6B6A68" w14:textId="77777777" w:rsidR="00697744" w:rsidRPr="00B979DE" w:rsidRDefault="00697744" w:rsidP="00F408E1">
      <w:pPr>
        <w:pStyle w:val="ListParagraph"/>
        <w:autoSpaceDE w:val="0"/>
        <w:autoSpaceDN w:val="0"/>
        <w:adjustRightInd w:val="0"/>
        <w:spacing w:after="0" w:line="240" w:lineRule="auto"/>
        <w:ind w:left="851"/>
        <w:rPr>
          <w:rFonts w:ascii="Brandon Grotesque Regular" w:eastAsiaTheme="minorEastAsia" w:hAnsi="Brandon Grotesque Regular" w:cstheme="minorHAnsi"/>
          <w:color w:val="000000" w:themeColor="text1"/>
          <w:sz w:val="22"/>
          <w:szCs w:val="22"/>
          <w:lang w:val="en-GB" w:bidi="ar-SA"/>
        </w:rPr>
      </w:pPr>
    </w:p>
    <w:p w14:paraId="45A3716D" w14:textId="2331EAE9" w:rsidR="00E8103E" w:rsidRPr="00B979DE" w:rsidRDefault="00E8103E"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Mortgage </w:t>
      </w:r>
      <w:r w:rsidR="00697744" w:rsidRPr="00B979DE">
        <w:rPr>
          <w:rFonts w:ascii="Brandon Grotesque Regular" w:eastAsiaTheme="minorEastAsia" w:hAnsi="Brandon Grotesque Regular" w:cstheme="minorHAnsi"/>
          <w:color w:val="000000" w:themeColor="text1"/>
          <w:sz w:val="22"/>
          <w:szCs w:val="22"/>
          <w:lang w:val="en-GB" w:bidi="ar-SA"/>
        </w:rPr>
        <w:t xml:space="preserve">Loan Loss </w:t>
      </w:r>
      <w:r w:rsidRPr="00B979DE">
        <w:rPr>
          <w:rFonts w:ascii="Brandon Grotesque Regular" w:eastAsiaTheme="minorEastAsia" w:hAnsi="Brandon Grotesque Regular" w:cstheme="minorHAnsi"/>
          <w:color w:val="000000" w:themeColor="text1"/>
          <w:sz w:val="22"/>
          <w:szCs w:val="22"/>
          <w:lang w:val="en-GB" w:bidi="ar-SA"/>
        </w:rPr>
        <w:t>Provisions decreased by $14.7 million versus</w:t>
      </w:r>
      <w:r w:rsidR="00E62C71" w:rsidRPr="00B979DE">
        <w:rPr>
          <w:rFonts w:ascii="Brandon Grotesque Regular" w:eastAsiaTheme="minorEastAsia" w:hAnsi="Brandon Grotesque Regular" w:cstheme="minorHAnsi"/>
          <w:color w:val="000000" w:themeColor="text1"/>
          <w:sz w:val="22"/>
          <w:szCs w:val="22"/>
          <w:lang w:val="en-GB" w:bidi="ar-SA"/>
        </w:rPr>
        <w:t xml:space="preserve"> </w:t>
      </w:r>
      <w:r w:rsidR="002048C0" w:rsidRPr="00B979DE">
        <w:rPr>
          <w:rFonts w:ascii="Brandon Grotesque Regular" w:eastAsiaTheme="minorEastAsia" w:hAnsi="Brandon Grotesque Regular" w:cstheme="minorHAnsi"/>
          <w:color w:val="000000" w:themeColor="text1"/>
          <w:sz w:val="22"/>
          <w:szCs w:val="22"/>
          <w:lang w:val="en-GB" w:bidi="ar-SA"/>
        </w:rPr>
        <w:t>June 2024</w:t>
      </w:r>
      <w:r w:rsidRPr="00B979DE">
        <w:rPr>
          <w:rFonts w:ascii="Brandon Grotesque Regular" w:eastAsiaTheme="minorEastAsia" w:hAnsi="Brandon Grotesque Regular" w:cstheme="minorHAnsi"/>
          <w:color w:val="000000" w:themeColor="text1"/>
          <w:sz w:val="22"/>
          <w:szCs w:val="22"/>
          <w:lang w:val="en-GB" w:bidi="ar-SA"/>
        </w:rPr>
        <w:t xml:space="preserve">, given provision releases following the Whole Loan Sales </w:t>
      </w:r>
      <w:r w:rsidR="00697744" w:rsidRPr="00B979DE">
        <w:rPr>
          <w:rFonts w:ascii="Brandon Grotesque Regular" w:eastAsiaTheme="minorEastAsia" w:hAnsi="Brandon Grotesque Regular" w:cstheme="minorHAnsi"/>
          <w:color w:val="000000" w:themeColor="text1"/>
          <w:sz w:val="22"/>
          <w:szCs w:val="22"/>
          <w:lang w:val="en-GB" w:bidi="ar-SA"/>
        </w:rPr>
        <w:t xml:space="preserve">executed – which </w:t>
      </w:r>
      <w:r w:rsidRPr="00B979DE">
        <w:rPr>
          <w:rFonts w:ascii="Brandon Grotesque Regular" w:eastAsiaTheme="minorEastAsia" w:hAnsi="Brandon Grotesque Regular" w:cstheme="minorHAnsi"/>
          <w:color w:val="000000" w:themeColor="text1"/>
          <w:sz w:val="22"/>
          <w:szCs w:val="22"/>
          <w:lang w:val="en-GB" w:bidi="ar-SA"/>
        </w:rPr>
        <w:t>over th</w:t>
      </w:r>
      <w:r w:rsidR="007460AC" w:rsidRPr="00B979DE">
        <w:rPr>
          <w:rFonts w:ascii="Brandon Grotesque Regular" w:eastAsiaTheme="minorEastAsia" w:hAnsi="Brandon Grotesque Regular" w:cstheme="minorHAnsi"/>
          <w:color w:val="000000" w:themeColor="text1"/>
          <w:sz w:val="22"/>
          <w:szCs w:val="22"/>
          <w:lang w:val="en-GB" w:bidi="ar-SA"/>
        </w:rPr>
        <w:t>e twelve months</w:t>
      </w:r>
      <w:r w:rsidRPr="00B979DE">
        <w:rPr>
          <w:rFonts w:ascii="Brandon Grotesque Regular" w:eastAsiaTheme="minorEastAsia" w:hAnsi="Brandon Grotesque Regular" w:cstheme="minorHAnsi"/>
          <w:color w:val="000000" w:themeColor="text1"/>
          <w:sz w:val="22"/>
          <w:szCs w:val="22"/>
          <w:lang w:val="en-GB" w:bidi="ar-SA"/>
        </w:rPr>
        <w:t xml:space="preserve"> to </w:t>
      </w:r>
      <w:r w:rsidR="0012198D" w:rsidRPr="00B979DE">
        <w:rPr>
          <w:rFonts w:ascii="Brandon Grotesque Regular" w:eastAsiaTheme="minorEastAsia" w:hAnsi="Brandon Grotesque Regular" w:cstheme="minorHAnsi"/>
          <w:color w:val="000000" w:themeColor="text1"/>
          <w:sz w:val="22"/>
          <w:szCs w:val="22"/>
          <w:lang w:val="en-GB" w:bidi="ar-SA"/>
        </w:rPr>
        <w:t xml:space="preserve">the </w:t>
      </w:r>
      <w:r w:rsidRPr="00B979DE">
        <w:rPr>
          <w:rFonts w:ascii="Brandon Grotesque Regular" w:eastAsiaTheme="minorEastAsia" w:hAnsi="Brandon Grotesque Regular" w:cstheme="minorHAnsi"/>
          <w:color w:val="000000" w:themeColor="text1"/>
          <w:sz w:val="22"/>
          <w:szCs w:val="22"/>
          <w:lang w:val="en-GB" w:bidi="ar-SA"/>
        </w:rPr>
        <w:t>30</w:t>
      </w:r>
      <w:r w:rsidR="0012198D" w:rsidRPr="00B979DE">
        <w:rPr>
          <w:rFonts w:ascii="Brandon Grotesque Regular" w:eastAsiaTheme="minorEastAsia" w:hAnsi="Brandon Grotesque Regular" w:cstheme="minorHAnsi"/>
          <w:color w:val="000000" w:themeColor="text1"/>
          <w:sz w:val="22"/>
          <w:szCs w:val="22"/>
          <w:vertAlign w:val="superscript"/>
          <w:lang w:val="en-GB" w:bidi="ar-SA"/>
        </w:rPr>
        <w:t>th</w:t>
      </w:r>
      <w:r w:rsidR="0012198D" w:rsidRPr="00B979DE">
        <w:rPr>
          <w:rFonts w:ascii="Brandon Grotesque Regular" w:eastAsiaTheme="minorEastAsia" w:hAnsi="Brandon Grotesque Regular" w:cstheme="minorHAnsi"/>
          <w:color w:val="000000" w:themeColor="text1"/>
          <w:sz w:val="22"/>
          <w:szCs w:val="22"/>
          <w:lang w:val="en-GB" w:bidi="ar-SA"/>
        </w:rPr>
        <w:t xml:space="preserve"> </w:t>
      </w:r>
      <w:proofErr w:type="gramStart"/>
      <w:r w:rsidR="0012198D" w:rsidRPr="00B979DE">
        <w:rPr>
          <w:rFonts w:ascii="Brandon Grotesque Regular" w:eastAsiaTheme="minorEastAsia" w:hAnsi="Brandon Grotesque Regular" w:cstheme="minorHAnsi"/>
          <w:color w:val="000000" w:themeColor="text1"/>
          <w:sz w:val="22"/>
          <w:szCs w:val="22"/>
          <w:lang w:val="en-GB" w:bidi="ar-SA"/>
        </w:rPr>
        <w:t xml:space="preserve">of </w:t>
      </w:r>
      <w:r w:rsidRPr="00B979DE">
        <w:rPr>
          <w:rFonts w:ascii="Brandon Grotesque Regular" w:eastAsiaTheme="minorEastAsia" w:hAnsi="Brandon Grotesque Regular" w:cstheme="minorHAnsi"/>
          <w:color w:val="000000" w:themeColor="text1"/>
          <w:sz w:val="22"/>
          <w:szCs w:val="22"/>
          <w:lang w:val="en-GB" w:bidi="ar-SA"/>
        </w:rPr>
        <w:t xml:space="preserve"> June</w:t>
      </w:r>
      <w:proofErr w:type="gramEnd"/>
      <w:r w:rsidRPr="00B979DE">
        <w:rPr>
          <w:rFonts w:ascii="Brandon Grotesque Regular" w:eastAsiaTheme="minorEastAsia" w:hAnsi="Brandon Grotesque Regular" w:cstheme="minorHAnsi"/>
          <w:color w:val="000000" w:themeColor="text1"/>
          <w:sz w:val="22"/>
          <w:szCs w:val="22"/>
          <w:lang w:val="en-GB" w:bidi="ar-SA"/>
        </w:rPr>
        <w:t xml:space="preserve"> 2025 </w:t>
      </w:r>
      <w:r w:rsidR="00697744" w:rsidRPr="00B979DE">
        <w:rPr>
          <w:rFonts w:ascii="Brandon Grotesque Regular" w:eastAsiaTheme="minorEastAsia" w:hAnsi="Brandon Grotesque Regular" w:cstheme="minorHAnsi"/>
          <w:color w:val="000000" w:themeColor="text1"/>
          <w:sz w:val="22"/>
          <w:szCs w:val="22"/>
          <w:lang w:val="en-GB" w:bidi="ar-SA"/>
        </w:rPr>
        <w:t xml:space="preserve">totalled $2.6 billion </w:t>
      </w:r>
      <w:r w:rsidR="00E62C71" w:rsidRPr="00B979DE">
        <w:rPr>
          <w:rFonts w:ascii="Brandon Grotesque Regular" w:eastAsiaTheme="minorEastAsia" w:hAnsi="Brandon Grotesque Regular" w:cstheme="minorHAnsi"/>
          <w:color w:val="000000" w:themeColor="text1"/>
          <w:sz w:val="22"/>
          <w:szCs w:val="22"/>
          <w:lang w:val="en-GB" w:bidi="ar-SA"/>
        </w:rPr>
        <w:t>–</w:t>
      </w:r>
      <w:r w:rsidR="00697744" w:rsidRPr="00B979DE">
        <w:rPr>
          <w:rFonts w:ascii="Brandon Grotesque Regular" w:eastAsiaTheme="minorEastAsia" w:hAnsi="Brandon Grotesque Regular" w:cstheme="minorHAnsi"/>
          <w:color w:val="000000" w:themeColor="text1"/>
          <w:sz w:val="22"/>
          <w:szCs w:val="22"/>
          <w:lang w:val="en-GB" w:bidi="ar-SA"/>
        </w:rPr>
        <w:t xml:space="preserve"> </w:t>
      </w:r>
      <w:r w:rsidR="00E62C71" w:rsidRPr="00B979DE">
        <w:rPr>
          <w:rFonts w:ascii="Brandon Grotesque Regular" w:eastAsiaTheme="minorEastAsia" w:hAnsi="Brandon Grotesque Regular" w:cstheme="minorHAnsi"/>
          <w:color w:val="000000" w:themeColor="text1"/>
          <w:sz w:val="22"/>
          <w:szCs w:val="22"/>
          <w:lang w:val="en-GB" w:bidi="ar-SA"/>
        </w:rPr>
        <w:t>$900 million</w:t>
      </w:r>
      <w:r w:rsidRPr="00B979DE">
        <w:rPr>
          <w:rFonts w:ascii="Brandon Grotesque Regular" w:eastAsiaTheme="minorEastAsia" w:hAnsi="Brandon Grotesque Regular" w:cstheme="minorHAnsi"/>
          <w:color w:val="000000" w:themeColor="text1"/>
          <w:sz w:val="22"/>
          <w:szCs w:val="22"/>
          <w:lang w:val="en-GB" w:bidi="ar-SA"/>
        </w:rPr>
        <w:t xml:space="preserve"> </w:t>
      </w:r>
      <w:r w:rsidR="00E62C71" w:rsidRPr="00B979DE">
        <w:rPr>
          <w:rFonts w:ascii="Brandon Grotesque Regular" w:eastAsiaTheme="minorEastAsia" w:hAnsi="Brandon Grotesque Regular" w:cstheme="minorHAnsi"/>
          <w:color w:val="000000" w:themeColor="text1"/>
          <w:sz w:val="22"/>
          <w:szCs w:val="22"/>
          <w:lang w:val="en-GB" w:bidi="ar-SA"/>
        </w:rPr>
        <w:t>in the second half</w:t>
      </w:r>
      <w:r w:rsidRPr="00B979DE">
        <w:rPr>
          <w:rFonts w:ascii="Brandon Grotesque Regular" w:eastAsiaTheme="minorEastAsia" w:hAnsi="Brandon Grotesque Regular" w:cstheme="minorHAnsi"/>
          <w:color w:val="000000" w:themeColor="text1"/>
          <w:sz w:val="22"/>
          <w:szCs w:val="22"/>
          <w:lang w:val="en-GB" w:bidi="ar-SA"/>
        </w:rPr>
        <w:t xml:space="preserve"> 2024 and $1.7 billion</w:t>
      </w:r>
      <w:r w:rsidR="00E62C71" w:rsidRPr="00B979DE">
        <w:rPr>
          <w:rFonts w:ascii="Brandon Grotesque Regular" w:eastAsiaTheme="minorEastAsia" w:hAnsi="Brandon Grotesque Regular" w:cstheme="minorHAnsi"/>
          <w:color w:val="000000" w:themeColor="text1"/>
          <w:sz w:val="22"/>
          <w:szCs w:val="22"/>
          <w:lang w:val="en-GB" w:bidi="ar-SA"/>
        </w:rPr>
        <w:t xml:space="preserve"> </w:t>
      </w:r>
      <w:r w:rsidR="002048C0" w:rsidRPr="00B979DE">
        <w:rPr>
          <w:rFonts w:ascii="Brandon Grotesque Regular" w:eastAsiaTheme="minorEastAsia" w:hAnsi="Brandon Grotesque Regular" w:cstheme="minorHAnsi"/>
          <w:color w:val="000000" w:themeColor="text1"/>
          <w:sz w:val="22"/>
          <w:szCs w:val="22"/>
          <w:lang w:val="en-GB" w:bidi="ar-SA"/>
        </w:rPr>
        <w:t xml:space="preserve">first half </w:t>
      </w:r>
      <w:r w:rsidRPr="00B979DE">
        <w:rPr>
          <w:rFonts w:ascii="Brandon Grotesque Regular" w:eastAsiaTheme="minorEastAsia" w:hAnsi="Brandon Grotesque Regular" w:cstheme="minorHAnsi"/>
          <w:color w:val="000000" w:themeColor="text1"/>
          <w:sz w:val="22"/>
          <w:szCs w:val="22"/>
          <w:lang w:val="en-GB" w:bidi="ar-SA"/>
        </w:rPr>
        <w:t>2025</w:t>
      </w:r>
      <w:r w:rsidR="00697744" w:rsidRPr="00B979DE">
        <w:rPr>
          <w:rFonts w:ascii="Brandon Grotesque Regular" w:eastAsiaTheme="minorEastAsia" w:hAnsi="Brandon Grotesque Regular" w:cstheme="minorHAnsi"/>
          <w:color w:val="000000" w:themeColor="text1"/>
          <w:sz w:val="22"/>
          <w:szCs w:val="22"/>
          <w:lang w:val="en-GB" w:bidi="ar-SA"/>
        </w:rPr>
        <w:t xml:space="preserve"> </w:t>
      </w:r>
      <w:r w:rsidR="002048C0" w:rsidRPr="00B979DE">
        <w:rPr>
          <w:rFonts w:ascii="Brandon Grotesque Regular" w:eastAsiaTheme="minorEastAsia" w:hAnsi="Brandon Grotesque Regular" w:cstheme="minorHAnsi"/>
          <w:color w:val="000000" w:themeColor="text1"/>
          <w:sz w:val="22"/>
          <w:szCs w:val="22"/>
          <w:lang w:val="en-GB" w:bidi="ar-SA"/>
        </w:rPr>
        <w:t>–</w:t>
      </w:r>
      <w:r w:rsidRPr="00B979DE">
        <w:rPr>
          <w:rFonts w:ascii="Brandon Grotesque Regular" w:eastAsiaTheme="minorEastAsia" w:hAnsi="Brandon Grotesque Regular" w:cstheme="minorHAnsi"/>
          <w:color w:val="000000" w:themeColor="text1"/>
          <w:sz w:val="22"/>
          <w:szCs w:val="22"/>
          <w:lang w:val="en-GB" w:bidi="ar-SA"/>
        </w:rPr>
        <w:t xml:space="preserve"> </w:t>
      </w:r>
      <w:r w:rsidR="002048C0" w:rsidRPr="00B979DE">
        <w:rPr>
          <w:rFonts w:ascii="Brandon Grotesque Regular" w:eastAsiaTheme="minorEastAsia" w:hAnsi="Brandon Grotesque Regular" w:cstheme="minorHAnsi"/>
          <w:color w:val="000000" w:themeColor="text1"/>
          <w:sz w:val="22"/>
          <w:szCs w:val="22"/>
          <w:lang w:val="en-GB" w:bidi="ar-SA"/>
        </w:rPr>
        <w:t xml:space="preserve">as well as the </w:t>
      </w:r>
      <w:r w:rsidRPr="00B979DE">
        <w:rPr>
          <w:rFonts w:ascii="Brandon Grotesque Regular" w:eastAsiaTheme="minorEastAsia" w:hAnsi="Brandon Grotesque Regular" w:cstheme="minorHAnsi"/>
          <w:color w:val="000000" w:themeColor="text1"/>
          <w:sz w:val="22"/>
          <w:szCs w:val="22"/>
          <w:lang w:val="en-GB" w:bidi="ar-SA"/>
        </w:rPr>
        <w:t xml:space="preserve">product mix shift towards Prime lending.  </w:t>
      </w:r>
      <w:r w:rsidR="00697744" w:rsidRPr="00B979DE">
        <w:rPr>
          <w:rFonts w:ascii="Brandon Grotesque Regular" w:eastAsiaTheme="minorEastAsia" w:hAnsi="Brandon Grotesque Regular" w:cstheme="minorHAnsi"/>
          <w:color w:val="000000" w:themeColor="text1"/>
          <w:sz w:val="22"/>
          <w:szCs w:val="22"/>
          <w:lang w:val="en-GB" w:bidi="ar-SA"/>
        </w:rPr>
        <w:t>In total our Coverage Ratio for Mortgages remains strong, and at 0.18% at June 2025 remains in line with the long-term average.</w:t>
      </w:r>
    </w:p>
    <w:p w14:paraId="581FA1CA" w14:textId="77777777" w:rsidR="00697744" w:rsidRPr="00B979DE" w:rsidRDefault="00697744" w:rsidP="00F408E1">
      <w:pPr>
        <w:pStyle w:val="ListParagraph"/>
        <w:spacing w:after="0" w:line="240" w:lineRule="auto"/>
        <w:ind w:left="851"/>
        <w:rPr>
          <w:rFonts w:ascii="Brandon Grotesque Regular" w:eastAsiaTheme="minorEastAsia" w:hAnsi="Brandon Grotesque Regular" w:cstheme="minorHAnsi"/>
          <w:color w:val="000000" w:themeColor="text1"/>
          <w:sz w:val="22"/>
          <w:szCs w:val="22"/>
          <w:lang w:val="en-GB" w:bidi="ar-SA"/>
        </w:rPr>
      </w:pPr>
    </w:p>
    <w:p w14:paraId="1BB57EA2" w14:textId="3217BBA7" w:rsidR="00DE3D0F" w:rsidRPr="00996624" w:rsidRDefault="00697744"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As always, we remain well provision</w:t>
      </w:r>
      <w:r w:rsidR="00DA28A4" w:rsidRPr="00B979DE">
        <w:rPr>
          <w:rFonts w:ascii="Brandon Grotesque Regular" w:eastAsiaTheme="minorEastAsia" w:hAnsi="Brandon Grotesque Regular" w:cstheme="minorHAnsi"/>
          <w:color w:val="000000" w:themeColor="text1"/>
          <w:sz w:val="22"/>
          <w:szCs w:val="22"/>
          <w:lang w:val="en-GB" w:bidi="ar-SA"/>
        </w:rPr>
        <w:t>ed</w:t>
      </w:r>
      <w:r w:rsidRPr="00B979DE">
        <w:rPr>
          <w:rFonts w:ascii="Brandon Grotesque Regular" w:eastAsiaTheme="minorEastAsia" w:hAnsi="Brandon Grotesque Regular" w:cstheme="minorHAnsi"/>
          <w:color w:val="000000" w:themeColor="text1"/>
          <w:sz w:val="22"/>
          <w:szCs w:val="22"/>
          <w:lang w:val="en-GB" w:bidi="ar-SA"/>
        </w:rPr>
        <w:t xml:space="preserve"> with Total Coverage Ratio at 0.79% </w:t>
      </w:r>
      <w:r w:rsidR="00DE3D0F" w:rsidRPr="00B979DE">
        <w:rPr>
          <w:rFonts w:ascii="Brandon Grotesque Regular" w:eastAsiaTheme="minorEastAsia" w:hAnsi="Brandon Grotesque Regular" w:cstheme="minorHAnsi"/>
          <w:color w:val="000000" w:themeColor="text1"/>
          <w:sz w:val="22"/>
          <w:szCs w:val="22"/>
          <w:lang w:val="en-GB" w:bidi="ar-SA"/>
        </w:rPr>
        <w:t>and we continue to hold</w:t>
      </w:r>
      <w:r w:rsidR="002048C0" w:rsidRPr="00B979DE">
        <w:rPr>
          <w:rFonts w:ascii="Brandon Grotesque Regular" w:eastAsiaTheme="minorEastAsia" w:hAnsi="Brandon Grotesque Regular" w:cstheme="minorHAnsi"/>
          <w:color w:val="000000" w:themeColor="text1"/>
          <w:sz w:val="22"/>
          <w:szCs w:val="22"/>
          <w:lang w:val="en-GB" w:bidi="ar-SA"/>
        </w:rPr>
        <w:t xml:space="preserve"> </w:t>
      </w:r>
      <w:r w:rsidR="00DE3D0F" w:rsidRPr="00B979DE">
        <w:rPr>
          <w:rFonts w:ascii="Brandon Grotesque Regular" w:eastAsiaTheme="minorEastAsia" w:hAnsi="Brandon Grotesque Regular" w:cstheme="minorHAnsi"/>
          <w:color w:val="000000" w:themeColor="text1"/>
          <w:sz w:val="22"/>
          <w:szCs w:val="22"/>
          <w:lang w:val="en-GB" w:bidi="ar-SA"/>
        </w:rPr>
        <w:t>$11</w:t>
      </w:r>
      <w:r w:rsidR="004670D5" w:rsidRPr="00B979DE">
        <w:rPr>
          <w:rFonts w:ascii="Brandon Grotesque Regular" w:eastAsiaTheme="minorEastAsia" w:hAnsi="Brandon Grotesque Regular" w:cstheme="minorHAnsi"/>
          <w:color w:val="000000" w:themeColor="text1"/>
          <w:sz w:val="22"/>
          <w:szCs w:val="22"/>
          <w:lang w:val="en-GB" w:bidi="ar-SA"/>
        </w:rPr>
        <w:t>.2</w:t>
      </w:r>
      <w:r w:rsidR="00DE3D0F" w:rsidRPr="00B979DE">
        <w:rPr>
          <w:rFonts w:ascii="Brandon Grotesque Regular" w:eastAsiaTheme="minorEastAsia" w:hAnsi="Brandon Grotesque Regular" w:cstheme="minorHAnsi"/>
          <w:color w:val="000000" w:themeColor="text1"/>
          <w:sz w:val="22"/>
          <w:szCs w:val="22"/>
          <w:lang w:val="en-GB" w:bidi="ar-SA"/>
        </w:rPr>
        <w:t xml:space="preserve"> million in Post Model Overlays - $9</w:t>
      </w:r>
      <w:r w:rsidR="004670D5" w:rsidRPr="00B979DE">
        <w:rPr>
          <w:rFonts w:ascii="Brandon Grotesque Regular" w:eastAsiaTheme="minorEastAsia" w:hAnsi="Brandon Grotesque Regular" w:cstheme="minorHAnsi"/>
          <w:color w:val="000000" w:themeColor="text1"/>
          <w:sz w:val="22"/>
          <w:szCs w:val="22"/>
          <w:lang w:val="en-GB" w:bidi="ar-SA"/>
        </w:rPr>
        <w:t>.2</w:t>
      </w:r>
      <w:r w:rsidR="00DE3D0F" w:rsidRPr="00B979DE">
        <w:rPr>
          <w:rFonts w:ascii="Brandon Grotesque Regular" w:eastAsiaTheme="minorEastAsia" w:hAnsi="Brandon Grotesque Regular" w:cstheme="minorHAnsi"/>
          <w:color w:val="000000" w:themeColor="text1"/>
          <w:sz w:val="22"/>
          <w:szCs w:val="22"/>
          <w:lang w:val="en-GB" w:bidi="ar-SA"/>
        </w:rPr>
        <w:t xml:space="preserve"> million against Asset Finance and $2 million </w:t>
      </w:r>
      <w:r w:rsidR="00DE3D0F" w:rsidRPr="00996624">
        <w:rPr>
          <w:rFonts w:ascii="Brandon Grotesque Regular" w:eastAsiaTheme="minorEastAsia" w:hAnsi="Brandon Grotesque Regular" w:cstheme="minorHAnsi"/>
          <w:color w:val="000000" w:themeColor="text1"/>
          <w:sz w:val="22"/>
          <w:szCs w:val="22"/>
          <w:lang w:val="en-GB" w:bidi="ar-SA"/>
        </w:rPr>
        <w:t>against Mortgages.</w:t>
      </w:r>
    </w:p>
    <w:p w14:paraId="24A78024" w14:textId="1CC7D143" w:rsidR="00697744" w:rsidRPr="00F408E1" w:rsidRDefault="00697744" w:rsidP="00F408E1">
      <w:pPr>
        <w:autoSpaceDE w:val="0"/>
        <w:autoSpaceDN w:val="0"/>
        <w:adjustRightInd w:val="0"/>
        <w:spacing w:after="0" w:line="240" w:lineRule="auto"/>
        <w:rPr>
          <w:rFonts w:ascii="Brandon Grotesque Regular" w:eastAsiaTheme="minorEastAsia" w:hAnsi="Brandon Grotesque Regular" w:cstheme="minorHAnsi"/>
          <w:color w:val="000000" w:themeColor="text1"/>
          <w:sz w:val="22"/>
          <w:szCs w:val="22"/>
          <w:lang w:val="en-GB" w:bidi="ar-SA"/>
        </w:rPr>
      </w:pPr>
    </w:p>
    <w:p w14:paraId="10E45479" w14:textId="29486235" w:rsidR="00697744" w:rsidRPr="00F408E1" w:rsidRDefault="00697744" w:rsidP="00F408E1">
      <w:pPr>
        <w:rPr>
          <w:rFonts w:ascii="Brandon Grotesque Regular" w:eastAsiaTheme="minorEastAsia" w:hAnsi="Brandon Grotesque Regular" w:cstheme="minorHAnsi"/>
          <w:color w:val="000000" w:themeColor="text1"/>
          <w:sz w:val="22"/>
          <w:szCs w:val="22"/>
          <w:lang w:bidi="ar-SA"/>
        </w:rPr>
      </w:pPr>
      <w:r w:rsidRPr="00F408E1">
        <w:rPr>
          <w:rFonts w:ascii="Brandon Grotesque Regular" w:eastAsiaTheme="minorEastAsia" w:hAnsi="Brandon Grotesque Regular" w:cstheme="minorHAnsi"/>
          <w:color w:val="000000" w:themeColor="text1"/>
          <w:sz w:val="22"/>
          <w:szCs w:val="22"/>
          <w:lang w:bidi="ar-SA"/>
        </w:rPr>
        <w:t>To close out on Credit performance, let’s turn now to slide 14.</w:t>
      </w:r>
    </w:p>
    <w:p w14:paraId="22EF5100" w14:textId="77777777" w:rsidR="00F408E1" w:rsidRDefault="00F408E1"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p>
    <w:p w14:paraId="0D1109B1" w14:textId="65B66FE3" w:rsidR="00C349B6" w:rsidRPr="00F408E1" w:rsidRDefault="00C349B6" w:rsidP="00F408E1">
      <w:pPr>
        <w:spacing w:after="0" w:line="240" w:lineRule="auto"/>
        <w:contextualSpacing/>
        <w:rPr>
          <w:rFonts w:ascii="Brandon Grotesque Regular" w:eastAsiaTheme="minorEastAsia" w:hAnsi="Brandon Grotesque Regular" w:cstheme="minorHAnsi"/>
          <w:b/>
          <w:bCs/>
          <w:color w:val="000000" w:themeColor="text1"/>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14</w:t>
      </w:r>
    </w:p>
    <w:p w14:paraId="732DB9A7" w14:textId="77777777" w:rsidR="001D23B0" w:rsidRDefault="001D23B0"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p w14:paraId="04D8F72E" w14:textId="501C9284" w:rsidR="00DE3D0F" w:rsidRPr="00996624" w:rsidRDefault="00312917"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W</w:t>
      </w:r>
      <w:r w:rsidR="00CB4CB7" w:rsidRPr="00996624">
        <w:rPr>
          <w:rFonts w:ascii="Brandon Grotesque Regular" w:eastAsiaTheme="minorEastAsia" w:hAnsi="Brandon Grotesque Regular" w:cstheme="minorHAnsi"/>
          <w:color w:val="000000" w:themeColor="text1"/>
          <w:sz w:val="22"/>
          <w:szCs w:val="22"/>
          <w:lang w:val="en-GB" w:bidi="ar-SA"/>
        </w:rPr>
        <w:t>e have largely covered movement in Loan Loss expense</w:t>
      </w:r>
      <w:r w:rsidR="00E62C71">
        <w:rPr>
          <w:rFonts w:ascii="Brandon Grotesque Regular" w:eastAsiaTheme="minorEastAsia" w:hAnsi="Brandon Grotesque Regular" w:cstheme="minorHAnsi"/>
          <w:color w:val="000000" w:themeColor="text1"/>
          <w:sz w:val="22"/>
          <w:szCs w:val="22"/>
          <w:lang w:val="en-GB" w:bidi="ar-SA"/>
        </w:rPr>
        <w:t xml:space="preserve"> when running through provision movements</w:t>
      </w:r>
      <w:r w:rsidR="00CB4CB7" w:rsidRPr="00996624">
        <w:rPr>
          <w:rFonts w:ascii="Brandon Grotesque Regular" w:eastAsiaTheme="minorEastAsia" w:hAnsi="Brandon Grotesque Regular" w:cstheme="minorHAnsi"/>
          <w:color w:val="000000" w:themeColor="text1"/>
          <w:sz w:val="22"/>
          <w:szCs w:val="22"/>
          <w:lang w:val="en-GB" w:bidi="ar-SA"/>
        </w:rPr>
        <w:t>, however for completeness</w:t>
      </w:r>
      <w:r w:rsidR="00E62C71">
        <w:rPr>
          <w:rFonts w:ascii="Brandon Grotesque Regular" w:eastAsiaTheme="minorEastAsia" w:hAnsi="Brandon Grotesque Regular" w:cstheme="minorHAnsi"/>
          <w:color w:val="000000" w:themeColor="text1"/>
          <w:sz w:val="22"/>
          <w:szCs w:val="22"/>
          <w:lang w:val="en-GB" w:bidi="ar-SA"/>
        </w:rPr>
        <w:t>:</w:t>
      </w:r>
    </w:p>
    <w:p w14:paraId="0A3D792D" w14:textId="77777777" w:rsidR="00CB4CB7" w:rsidRPr="00996624" w:rsidRDefault="00CB4CB7" w:rsidP="00F408E1">
      <w:pPr>
        <w:pStyle w:val="BodyBullet"/>
        <w:numPr>
          <w:ilvl w:val="0"/>
          <w:numId w:val="0"/>
        </w:numPr>
        <w:spacing w:before="0" w:after="0" w:line="240" w:lineRule="auto"/>
        <w:rPr>
          <w:rFonts w:ascii="Brandon Grotesque Regular" w:eastAsiaTheme="minorEastAsia" w:hAnsi="Brandon Grotesque Regular" w:cstheme="minorHAnsi"/>
          <w:sz w:val="22"/>
          <w:szCs w:val="22"/>
          <w:lang w:bidi="ar-SA"/>
        </w:rPr>
      </w:pPr>
    </w:p>
    <w:p w14:paraId="0C0B6282" w14:textId="3ED4E976" w:rsidR="00CB4CB7" w:rsidRPr="00996624" w:rsidRDefault="00CB4CB7" w:rsidP="00F408E1">
      <w:pPr>
        <w:spacing w:after="8"/>
        <w:rPr>
          <w:rFonts w:ascii="Brandon Grotesque Regular" w:hAnsi="Brandon Grotesque Regular"/>
          <w:sz w:val="22"/>
          <w:szCs w:val="22"/>
        </w:rPr>
      </w:pPr>
      <w:r w:rsidRPr="00996624">
        <w:rPr>
          <w:rFonts w:ascii="Brandon Grotesque Regular" w:hAnsi="Brandon Grotesque Regular"/>
          <w:b/>
          <w:bCs/>
          <w:sz w:val="22"/>
          <w:szCs w:val="22"/>
        </w:rPr>
        <w:t>Loan Loss Expense</w:t>
      </w:r>
      <w:r w:rsidRPr="00996624">
        <w:rPr>
          <w:rFonts w:ascii="Brandon Grotesque Regular" w:hAnsi="Brandon Grotesque Regular"/>
          <w:sz w:val="22"/>
          <w:szCs w:val="22"/>
        </w:rPr>
        <w:t xml:space="preserve"> </w:t>
      </w:r>
      <w:r w:rsidR="00E62C71">
        <w:rPr>
          <w:rFonts w:ascii="Brandon Grotesque Regular" w:hAnsi="Brandon Grotesque Regular"/>
          <w:sz w:val="22"/>
          <w:szCs w:val="22"/>
        </w:rPr>
        <w:t xml:space="preserve">- </w:t>
      </w:r>
      <w:r w:rsidRPr="00996624">
        <w:rPr>
          <w:rFonts w:ascii="Brandon Grotesque Regular" w:hAnsi="Brandon Grotesque Regular"/>
          <w:sz w:val="22"/>
          <w:szCs w:val="22"/>
        </w:rPr>
        <w:t xml:space="preserve">including Post Model </w:t>
      </w:r>
      <w:r w:rsidR="00E62C71">
        <w:rPr>
          <w:rFonts w:ascii="Brandon Grotesque Regular" w:hAnsi="Brandon Grotesque Regular"/>
          <w:sz w:val="22"/>
          <w:szCs w:val="22"/>
        </w:rPr>
        <w:t>O</w:t>
      </w:r>
      <w:r w:rsidRPr="00996624">
        <w:rPr>
          <w:rFonts w:ascii="Brandon Grotesque Regular" w:hAnsi="Brandon Grotesque Regular"/>
          <w:sz w:val="22"/>
          <w:szCs w:val="22"/>
        </w:rPr>
        <w:t xml:space="preserve">verlay </w:t>
      </w:r>
      <w:r w:rsidR="00E62C71">
        <w:rPr>
          <w:rFonts w:ascii="Brandon Grotesque Regular" w:hAnsi="Brandon Grotesque Regular"/>
          <w:sz w:val="22"/>
          <w:szCs w:val="22"/>
        </w:rPr>
        <w:t xml:space="preserve">- </w:t>
      </w:r>
      <w:r w:rsidRPr="00996624">
        <w:rPr>
          <w:rFonts w:ascii="Brandon Grotesque Regular" w:hAnsi="Brandon Grotesque Regular"/>
          <w:sz w:val="22"/>
          <w:szCs w:val="22"/>
        </w:rPr>
        <w:t>reduced by $0.7 million on PCP.   The movement was driven by:</w:t>
      </w:r>
    </w:p>
    <w:p w14:paraId="01662241" w14:textId="623899F0" w:rsidR="00CB4CB7" w:rsidRPr="00996624"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b/>
          <w:bCs/>
          <w:color w:val="000000" w:themeColor="text1"/>
          <w:sz w:val="22"/>
          <w:szCs w:val="22"/>
          <w:lang w:val="en-GB" w:bidi="ar-SA"/>
        </w:rPr>
        <w:t>Asset Finance Loan Loss Expense</w:t>
      </w:r>
      <w:r w:rsidRPr="00996624">
        <w:rPr>
          <w:rFonts w:ascii="Brandon Grotesque Regular" w:eastAsiaTheme="minorEastAsia" w:hAnsi="Brandon Grotesque Regular" w:cstheme="minorHAnsi"/>
          <w:color w:val="000000" w:themeColor="text1"/>
          <w:sz w:val="22"/>
          <w:szCs w:val="22"/>
          <w:lang w:val="en-GB" w:bidi="ar-SA"/>
        </w:rPr>
        <w:t xml:space="preserve"> at $(43.6) million increased by $(4.7) million, or 12%, on PCP in line AUM which grew by +11% on PCP.  </w:t>
      </w:r>
      <w:r w:rsidR="002048C0">
        <w:rPr>
          <w:rFonts w:ascii="Brandon Grotesque Regular" w:eastAsiaTheme="minorEastAsia" w:hAnsi="Brandon Grotesque Regular" w:cstheme="minorHAnsi"/>
          <w:color w:val="000000" w:themeColor="text1"/>
          <w:sz w:val="22"/>
          <w:szCs w:val="22"/>
          <w:lang w:val="en-GB" w:bidi="ar-SA"/>
        </w:rPr>
        <w:t>As covered, t</w:t>
      </w:r>
      <w:r w:rsidRPr="00996624">
        <w:rPr>
          <w:rFonts w:ascii="Brandon Grotesque Regular" w:eastAsiaTheme="minorEastAsia" w:hAnsi="Brandon Grotesque Regular" w:cstheme="minorHAnsi"/>
          <w:color w:val="000000" w:themeColor="text1"/>
          <w:sz w:val="22"/>
          <w:szCs w:val="22"/>
          <w:lang w:val="en-GB" w:bidi="ar-SA"/>
        </w:rPr>
        <w:t xml:space="preserve">he main movement in Asset Finance Loan Loss Expense has been </w:t>
      </w:r>
      <w:r w:rsidR="0046287E">
        <w:rPr>
          <w:rFonts w:ascii="Brandon Grotesque Regular" w:eastAsiaTheme="minorEastAsia" w:hAnsi="Brandon Grotesque Regular" w:cstheme="minorHAnsi"/>
          <w:color w:val="000000" w:themeColor="text1"/>
          <w:sz w:val="22"/>
          <w:szCs w:val="22"/>
          <w:lang w:val="en-GB" w:bidi="ar-SA"/>
        </w:rPr>
        <w:t>the</w:t>
      </w:r>
      <w:r w:rsidRPr="00996624">
        <w:rPr>
          <w:rFonts w:ascii="Brandon Grotesque Regular" w:eastAsiaTheme="minorEastAsia" w:hAnsi="Brandon Grotesque Regular" w:cstheme="minorHAnsi"/>
          <w:color w:val="000000" w:themeColor="text1"/>
          <w:sz w:val="22"/>
          <w:szCs w:val="22"/>
          <w:lang w:val="en-GB" w:bidi="ar-SA"/>
        </w:rPr>
        <w:t xml:space="preserve"> Collective</w:t>
      </w:r>
      <w:r w:rsidR="0046287E">
        <w:rPr>
          <w:rFonts w:ascii="Brandon Grotesque Regular" w:eastAsiaTheme="minorEastAsia" w:hAnsi="Brandon Grotesque Regular" w:cstheme="minorHAnsi"/>
          <w:color w:val="000000" w:themeColor="text1"/>
          <w:sz w:val="22"/>
          <w:szCs w:val="22"/>
          <w:lang w:val="en-GB" w:bidi="ar-SA"/>
        </w:rPr>
        <w:t xml:space="preserve"> Provision</w:t>
      </w:r>
      <w:r w:rsidRPr="00996624">
        <w:rPr>
          <w:rFonts w:ascii="Brandon Grotesque Regular" w:eastAsiaTheme="minorEastAsia" w:hAnsi="Brandon Grotesque Regular" w:cstheme="minorHAnsi"/>
          <w:color w:val="000000" w:themeColor="text1"/>
          <w:sz w:val="22"/>
          <w:szCs w:val="22"/>
          <w:lang w:val="en-GB" w:bidi="ar-SA"/>
        </w:rPr>
        <w:t xml:space="preserve">, inclusive of Post Model Overlay, which increased over PCP, given the writeback in </w:t>
      </w:r>
      <w:r w:rsidR="00E62C71">
        <w:rPr>
          <w:rFonts w:ascii="Brandon Grotesque Regular" w:eastAsiaTheme="minorEastAsia" w:hAnsi="Brandon Grotesque Regular" w:cstheme="minorHAnsi"/>
          <w:color w:val="000000" w:themeColor="text1"/>
          <w:sz w:val="22"/>
          <w:szCs w:val="22"/>
          <w:lang w:val="en-GB" w:bidi="ar-SA"/>
        </w:rPr>
        <w:t>first half</w:t>
      </w:r>
      <w:r w:rsidRPr="00996624">
        <w:rPr>
          <w:rFonts w:ascii="Brandon Grotesque Regular" w:eastAsiaTheme="minorEastAsia" w:hAnsi="Brandon Grotesque Regular" w:cstheme="minorHAnsi"/>
          <w:color w:val="000000" w:themeColor="text1"/>
          <w:sz w:val="22"/>
          <w:szCs w:val="22"/>
          <w:lang w:val="en-GB" w:bidi="ar-SA"/>
        </w:rPr>
        <w:t xml:space="preserve"> </w:t>
      </w:r>
      <w:r w:rsidR="00070155">
        <w:rPr>
          <w:rFonts w:ascii="Brandon Grotesque Regular" w:eastAsiaTheme="minorEastAsia" w:hAnsi="Brandon Grotesque Regular" w:cstheme="minorHAnsi"/>
          <w:color w:val="000000" w:themeColor="text1"/>
          <w:sz w:val="22"/>
          <w:szCs w:val="22"/>
          <w:lang w:val="en-GB" w:bidi="ar-SA"/>
        </w:rPr>
        <w:t xml:space="preserve">of </w:t>
      </w:r>
      <w:r w:rsidRPr="00996624">
        <w:rPr>
          <w:rFonts w:ascii="Brandon Grotesque Regular" w:eastAsiaTheme="minorEastAsia" w:hAnsi="Brandon Grotesque Regular" w:cstheme="minorHAnsi"/>
          <w:color w:val="000000" w:themeColor="text1"/>
          <w:sz w:val="22"/>
          <w:szCs w:val="22"/>
          <w:lang w:val="en-GB" w:bidi="ar-SA"/>
        </w:rPr>
        <w:t xml:space="preserve">2024 of Collective Provisions following the execution of </w:t>
      </w:r>
      <w:r w:rsidR="00E62C71">
        <w:rPr>
          <w:rFonts w:ascii="Brandon Grotesque Regular" w:eastAsiaTheme="minorEastAsia" w:hAnsi="Brandon Grotesque Regular" w:cstheme="minorHAnsi"/>
          <w:color w:val="000000" w:themeColor="text1"/>
          <w:sz w:val="22"/>
          <w:szCs w:val="22"/>
          <w:lang w:val="en-GB" w:bidi="ar-SA"/>
        </w:rPr>
        <w:t xml:space="preserve">half a </w:t>
      </w:r>
      <w:r w:rsidRPr="00996624">
        <w:rPr>
          <w:rFonts w:ascii="Brandon Grotesque Regular" w:eastAsiaTheme="minorEastAsia" w:hAnsi="Brandon Grotesque Regular" w:cstheme="minorHAnsi"/>
          <w:color w:val="000000" w:themeColor="text1"/>
          <w:sz w:val="22"/>
          <w:szCs w:val="22"/>
          <w:lang w:val="en-GB" w:bidi="ar-SA"/>
        </w:rPr>
        <w:t>billion Whole Loan Sale.</w:t>
      </w:r>
      <w:r w:rsidR="002048C0">
        <w:rPr>
          <w:rFonts w:ascii="Brandon Grotesque Regular" w:eastAsiaTheme="minorEastAsia" w:hAnsi="Brandon Grotesque Regular" w:cstheme="minorHAnsi"/>
          <w:color w:val="000000" w:themeColor="text1"/>
          <w:sz w:val="22"/>
          <w:szCs w:val="22"/>
          <w:lang w:val="en-GB" w:bidi="ar-SA"/>
        </w:rPr>
        <w:t xml:space="preserve"> The i</w:t>
      </w:r>
      <w:r w:rsidRPr="00996624">
        <w:rPr>
          <w:rFonts w:ascii="Brandon Grotesque Regular" w:eastAsiaTheme="minorEastAsia" w:hAnsi="Brandon Grotesque Regular" w:cstheme="minorHAnsi"/>
          <w:color w:val="000000" w:themeColor="text1"/>
          <w:sz w:val="22"/>
          <w:szCs w:val="22"/>
          <w:lang w:val="en-GB" w:bidi="ar-SA"/>
        </w:rPr>
        <w:t xml:space="preserve">ncrease in Collective was partially offset by Specifics as late-stage arrears continue to improve following the spike in insolvencies </w:t>
      </w:r>
      <w:r w:rsidR="00E62C71">
        <w:rPr>
          <w:rFonts w:ascii="Brandon Grotesque Regular" w:eastAsiaTheme="minorEastAsia" w:hAnsi="Brandon Grotesque Regular" w:cstheme="minorHAnsi"/>
          <w:color w:val="000000" w:themeColor="text1"/>
          <w:sz w:val="22"/>
          <w:szCs w:val="22"/>
          <w:lang w:val="en-GB" w:bidi="ar-SA"/>
        </w:rPr>
        <w:t>which I have already touched on</w:t>
      </w:r>
      <w:r w:rsidRPr="00996624">
        <w:rPr>
          <w:rFonts w:ascii="Brandon Grotesque Regular" w:eastAsiaTheme="minorEastAsia" w:hAnsi="Brandon Grotesque Regular" w:cstheme="minorHAnsi"/>
          <w:color w:val="000000" w:themeColor="text1"/>
          <w:sz w:val="22"/>
          <w:szCs w:val="22"/>
          <w:lang w:val="en-GB" w:bidi="ar-SA"/>
        </w:rPr>
        <w:t>.</w:t>
      </w:r>
    </w:p>
    <w:p w14:paraId="69BF87FA" w14:textId="262FAB01" w:rsidR="00CB4CB7" w:rsidRPr="00996624"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b/>
          <w:bCs/>
          <w:color w:val="000000" w:themeColor="text1"/>
          <w:sz w:val="22"/>
          <w:szCs w:val="22"/>
          <w:lang w:val="en-GB" w:bidi="ar-SA"/>
        </w:rPr>
        <w:t>Mortgage Loan Loss Expense</w:t>
      </w:r>
      <w:r w:rsidRPr="00996624">
        <w:rPr>
          <w:rFonts w:ascii="Brandon Grotesque Regular" w:eastAsiaTheme="minorEastAsia" w:hAnsi="Brandon Grotesque Regular" w:cstheme="minorHAnsi"/>
          <w:color w:val="000000" w:themeColor="text1"/>
          <w:sz w:val="22"/>
          <w:szCs w:val="22"/>
          <w:lang w:val="en-GB" w:bidi="ar-SA"/>
        </w:rPr>
        <w:t xml:space="preserve"> decreased by $5.4 million versus 1H 2024.  Collective decreased by $4.9 million driven by Whole Loan Sales net of Originations</w:t>
      </w:r>
      <w:r w:rsidR="00F834BE">
        <w:rPr>
          <w:rFonts w:ascii="Brandon Grotesque Regular" w:eastAsiaTheme="minorEastAsia" w:hAnsi="Brandon Grotesque Regular" w:cstheme="minorHAnsi"/>
          <w:color w:val="000000" w:themeColor="text1"/>
          <w:sz w:val="22"/>
          <w:szCs w:val="22"/>
          <w:lang w:val="en-GB" w:bidi="ar-SA"/>
        </w:rPr>
        <w:t>.</w:t>
      </w:r>
      <w:r w:rsidRPr="00996624">
        <w:rPr>
          <w:rFonts w:ascii="Brandon Grotesque Regular" w:eastAsiaTheme="minorEastAsia" w:hAnsi="Brandon Grotesque Regular" w:cstheme="minorHAnsi"/>
          <w:color w:val="000000" w:themeColor="text1"/>
          <w:sz w:val="22"/>
          <w:szCs w:val="22"/>
          <w:lang w:val="en-GB" w:bidi="ar-SA"/>
        </w:rPr>
        <w:t xml:space="preserve"> Specific decreased by $0.5 million reflecting normal portfolio movement.   </w:t>
      </w:r>
    </w:p>
    <w:p w14:paraId="1D080754" w14:textId="77777777" w:rsidR="00DE3D0F" w:rsidRPr="00996624" w:rsidRDefault="00DE3D0F" w:rsidP="00F408E1">
      <w:pPr>
        <w:pStyle w:val="ListParagraph"/>
        <w:spacing w:after="0" w:line="240" w:lineRule="auto"/>
        <w:ind w:left="284"/>
        <w:rPr>
          <w:rFonts w:ascii="Brandon Grotesque Regular" w:eastAsiaTheme="minorEastAsia" w:hAnsi="Brandon Grotesque Regular" w:cstheme="minorHAnsi"/>
          <w:color w:val="000000" w:themeColor="text1"/>
          <w:sz w:val="22"/>
          <w:szCs w:val="22"/>
          <w:lang w:val="en-GB" w:bidi="ar-SA"/>
        </w:rPr>
      </w:pPr>
    </w:p>
    <w:p w14:paraId="41EA0660" w14:textId="42F810F4" w:rsidR="00F41D8A" w:rsidRPr="00996624" w:rsidRDefault="00E62C71"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 xml:space="preserve">As always, </w:t>
      </w:r>
      <w:r w:rsidR="00F41D8A" w:rsidRPr="00996624">
        <w:rPr>
          <w:rFonts w:ascii="Brandon Grotesque Regular" w:eastAsiaTheme="minorEastAsia" w:hAnsi="Brandon Grotesque Regular" w:cstheme="minorHAnsi"/>
          <w:color w:val="000000" w:themeColor="text1"/>
          <w:sz w:val="22"/>
          <w:szCs w:val="22"/>
          <w:lang w:val="en-GB" w:bidi="ar-SA"/>
        </w:rPr>
        <w:t xml:space="preserve">90+ days arrears are a strong indicator of future losses: </w:t>
      </w:r>
    </w:p>
    <w:p w14:paraId="4A035A74" w14:textId="64A8FD5D" w:rsidR="00F41D8A" w:rsidRPr="00996624" w:rsidRDefault="00F41D8A" w:rsidP="00F408E1">
      <w:pPr>
        <w:pStyle w:val="ListParagraph"/>
        <w:numPr>
          <w:ilvl w:val="0"/>
          <w:numId w:val="23"/>
        </w:num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Mortgages closed </w:t>
      </w:r>
      <w:r w:rsidR="00DE3D0F" w:rsidRPr="00996624">
        <w:rPr>
          <w:rFonts w:ascii="Brandon Grotesque Regular" w:eastAsiaTheme="minorEastAsia" w:hAnsi="Brandon Grotesque Regular" w:cstheme="minorHAnsi"/>
          <w:color w:val="000000" w:themeColor="text1"/>
          <w:sz w:val="22"/>
          <w:szCs w:val="22"/>
          <w:lang w:val="en-GB" w:bidi="ar-SA"/>
        </w:rPr>
        <w:t>June</w:t>
      </w:r>
      <w:r w:rsidRPr="00996624">
        <w:rPr>
          <w:rFonts w:ascii="Brandon Grotesque Regular" w:eastAsiaTheme="minorEastAsia" w:hAnsi="Brandon Grotesque Regular" w:cstheme="minorHAnsi"/>
          <w:color w:val="000000" w:themeColor="text1"/>
          <w:sz w:val="22"/>
          <w:szCs w:val="22"/>
          <w:lang w:val="en-GB" w:bidi="ar-SA"/>
        </w:rPr>
        <w:t xml:space="preserve"> 202</w:t>
      </w:r>
      <w:r w:rsidR="00DE3D0F" w:rsidRPr="00996624">
        <w:rPr>
          <w:rFonts w:ascii="Brandon Grotesque Regular" w:eastAsiaTheme="minorEastAsia" w:hAnsi="Brandon Grotesque Regular" w:cstheme="minorHAnsi"/>
          <w:color w:val="000000" w:themeColor="text1"/>
          <w:sz w:val="22"/>
          <w:szCs w:val="22"/>
          <w:lang w:val="en-GB" w:bidi="ar-SA"/>
        </w:rPr>
        <w:t>5</w:t>
      </w:r>
      <w:r w:rsidRPr="00996624">
        <w:rPr>
          <w:rFonts w:ascii="Brandon Grotesque Regular" w:eastAsiaTheme="minorEastAsia" w:hAnsi="Brandon Grotesque Regular" w:cstheme="minorHAnsi"/>
          <w:color w:val="000000" w:themeColor="text1"/>
          <w:sz w:val="22"/>
          <w:szCs w:val="22"/>
          <w:lang w:val="en-GB" w:bidi="ar-SA"/>
        </w:rPr>
        <w:t xml:space="preserve"> at 1.</w:t>
      </w:r>
      <w:r w:rsidR="00CB4CB7" w:rsidRPr="00996624">
        <w:rPr>
          <w:rFonts w:ascii="Brandon Grotesque Regular" w:eastAsiaTheme="minorEastAsia" w:hAnsi="Brandon Grotesque Regular" w:cstheme="minorHAnsi"/>
          <w:color w:val="000000" w:themeColor="text1"/>
          <w:sz w:val="22"/>
          <w:szCs w:val="22"/>
          <w:lang w:val="en-GB" w:bidi="ar-SA"/>
        </w:rPr>
        <w:t xml:space="preserve">89 </w:t>
      </w:r>
      <w:r w:rsidRPr="00996624">
        <w:rPr>
          <w:rFonts w:ascii="Brandon Grotesque Regular" w:eastAsiaTheme="minorEastAsia" w:hAnsi="Brandon Grotesque Regular" w:cstheme="minorHAnsi"/>
          <w:color w:val="000000" w:themeColor="text1"/>
          <w:sz w:val="22"/>
          <w:szCs w:val="22"/>
          <w:lang w:val="en-GB" w:bidi="ar-SA"/>
        </w:rPr>
        <w:t>per cent</w:t>
      </w:r>
      <w:r w:rsidR="00CB4CB7" w:rsidRPr="00996624">
        <w:rPr>
          <w:rFonts w:ascii="Brandon Grotesque Regular" w:eastAsiaTheme="minorEastAsia" w:hAnsi="Brandon Grotesque Regular" w:cstheme="minorHAnsi"/>
          <w:color w:val="000000" w:themeColor="text1"/>
          <w:sz w:val="22"/>
          <w:szCs w:val="22"/>
          <w:lang w:val="en-GB" w:bidi="ar-SA"/>
        </w:rPr>
        <w:t>.  If you restate for the impact of Whole Loan Sales, given the $1.7 billion ex</w:t>
      </w:r>
      <w:r w:rsidR="0047212A">
        <w:rPr>
          <w:rFonts w:ascii="Brandon Grotesque Regular" w:eastAsiaTheme="minorEastAsia" w:hAnsi="Brandon Grotesque Regular" w:cstheme="minorHAnsi"/>
          <w:color w:val="000000" w:themeColor="text1"/>
          <w:sz w:val="22"/>
          <w:szCs w:val="22"/>
          <w:lang w:val="en-GB" w:bidi="ar-SA"/>
        </w:rPr>
        <w:t>e</w:t>
      </w:r>
      <w:r w:rsidR="00CB4CB7" w:rsidRPr="00996624">
        <w:rPr>
          <w:rFonts w:ascii="Brandon Grotesque Regular" w:eastAsiaTheme="minorEastAsia" w:hAnsi="Brandon Grotesque Regular" w:cstheme="minorHAnsi"/>
          <w:color w:val="000000" w:themeColor="text1"/>
          <w:sz w:val="22"/>
          <w:szCs w:val="22"/>
          <w:lang w:val="en-GB" w:bidi="ar-SA"/>
        </w:rPr>
        <w:t xml:space="preserve">cuted over the first </w:t>
      </w:r>
      <w:proofErr w:type="gramStart"/>
      <w:r w:rsidR="00CB4CB7" w:rsidRPr="00996624">
        <w:rPr>
          <w:rFonts w:ascii="Brandon Grotesque Regular" w:eastAsiaTheme="minorEastAsia" w:hAnsi="Brandon Grotesque Regular" w:cstheme="minorHAnsi"/>
          <w:color w:val="000000" w:themeColor="text1"/>
          <w:sz w:val="22"/>
          <w:szCs w:val="22"/>
          <w:lang w:val="en-GB" w:bidi="ar-SA"/>
        </w:rPr>
        <w:t>half,  90</w:t>
      </w:r>
      <w:proofErr w:type="gramEnd"/>
      <w:r w:rsidR="00CB4CB7" w:rsidRPr="00996624">
        <w:rPr>
          <w:rFonts w:ascii="Brandon Grotesque Regular" w:eastAsiaTheme="minorEastAsia" w:hAnsi="Brandon Grotesque Regular" w:cstheme="minorHAnsi"/>
          <w:color w:val="000000" w:themeColor="text1"/>
          <w:sz w:val="22"/>
          <w:szCs w:val="22"/>
          <w:lang w:val="en-GB" w:bidi="ar-SA"/>
        </w:rPr>
        <w:t>+ arrears closed June</w:t>
      </w:r>
      <w:r w:rsidR="004B7394">
        <w:rPr>
          <w:rFonts w:ascii="Brandon Grotesque Regular" w:eastAsiaTheme="minorEastAsia" w:hAnsi="Brandon Grotesque Regular" w:cstheme="minorHAnsi"/>
          <w:color w:val="000000" w:themeColor="text1"/>
          <w:sz w:val="22"/>
          <w:szCs w:val="22"/>
          <w:lang w:val="en-GB" w:bidi="ar-SA"/>
        </w:rPr>
        <w:t xml:space="preserve"> 2025</w:t>
      </w:r>
      <w:r w:rsidR="00CB4CB7" w:rsidRPr="00996624">
        <w:rPr>
          <w:rFonts w:ascii="Brandon Grotesque Regular" w:eastAsiaTheme="minorEastAsia" w:hAnsi="Brandon Grotesque Regular" w:cstheme="minorHAnsi"/>
          <w:color w:val="000000" w:themeColor="text1"/>
          <w:sz w:val="22"/>
          <w:szCs w:val="22"/>
          <w:lang w:val="en-GB" w:bidi="ar-SA"/>
        </w:rPr>
        <w:t xml:space="preserve"> at 1.</w:t>
      </w:r>
      <w:r w:rsidR="00E62C71">
        <w:rPr>
          <w:rFonts w:ascii="Brandon Grotesque Regular" w:eastAsiaTheme="minorEastAsia" w:hAnsi="Brandon Grotesque Regular" w:cstheme="minorHAnsi"/>
          <w:color w:val="000000" w:themeColor="text1"/>
          <w:sz w:val="22"/>
          <w:szCs w:val="22"/>
          <w:lang w:val="en-GB" w:bidi="ar-SA"/>
        </w:rPr>
        <w:t>4</w:t>
      </w:r>
      <w:r w:rsidR="00CB4CB7" w:rsidRPr="00996624">
        <w:rPr>
          <w:rFonts w:ascii="Brandon Grotesque Regular" w:eastAsiaTheme="minorEastAsia" w:hAnsi="Brandon Grotesque Regular" w:cstheme="minorHAnsi"/>
          <w:color w:val="000000" w:themeColor="text1"/>
          <w:sz w:val="22"/>
          <w:szCs w:val="22"/>
          <w:lang w:val="en-GB" w:bidi="ar-SA"/>
        </w:rPr>
        <w:t xml:space="preserve">7 per </w:t>
      </w:r>
      <w:r w:rsidR="00B979DE" w:rsidRPr="00996624">
        <w:rPr>
          <w:rFonts w:ascii="Brandon Grotesque Regular" w:eastAsiaTheme="minorEastAsia" w:hAnsi="Brandon Grotesque Regular" w:cstheme="minorHAnsi"/>
          <w:color w:val="000000" w:themeColor="text1"/>
          <w:sz w:val="22"/>
          <w:szCs w:val="22"/>
          <w:lang w:val="en-GB" w:bidi="ar-SA"/>
        </w:rPr>
        <w:t>cent -</w:t>
      </w:r>
      <w:r w:rsidRPr="00996624">
        <w:rPr>
          <w:rFonts w:ascii="Brandon Grotesque Regular" w:eastAsiaTheme="minorEastAsia" w:hAnsi="Brandon Grotesque Regular" w:cstheme="minorHAnsi"/>
          <w:color w:val="000000" w:themeColor="text1"/>
          <w:sz w:val="22"/>
          <w:szCs w:val="22"/>
          <w:lang w:val="en-GB" w:bidi="ar-SA"/>
        </w:rPr>
        <w:t xml:space="preserve"> </w:t>
      </w:r>
      <w:r w:rsidR="00CB4CB7" w:rsidRPr="00996624">
        <w:rPr>
          <w:rFonts w:ascii="Brandon Grotesque Regular" w:eastAsiaTheme="minorEastAsia" w:hAnsi="Brandon Grotesque Regular" w:cstheme="minorHAnsi"/>
          <w:color w:val="000000" w:themeColor="text1"/>
          <w:sz w:val="22"/>
          <w:szCs w:val="22"/>
          <w:lang w:val="en-GB" w:bidi="ar-SA"/>
        </w:rPr>
        <w:t>in line with December 2024 and marginally down from June</w:t>
      </w:r>
      <w:r w:rsidRPr="00996624">
        <w:rPr>
          <w:rFonts w:ascii="Brandon Grotesque Regular" w:eastAsiaTheme="minorEastAsia" w:hAnsi="Brandon Grotesque Regular" w:cstheme="minorHAnsi"/>
          <w:color w:val="000000" w:themeColor="text1"/>
          <w:sz w:val="22"/>
          <w:szCs w:val="22"/>
          <w:lang w:val="en-GB" w:bidi="ar-SA"/>
        </w:rPr>
        <w:t xml:space="preserve"> </w:t>
      </w:r>
      <w:r w:rsidR="00E62C71">
        <w:rPr>
          <w:rFonts w:ascii="Brandon Grotesque Regular" w:eastAsiaTheme="minorEastAsia" w:hAnsi="Brandon Grotesque Regular" w:cstheme="minorHAnsi"/>
          <w:color w:val="000000" w:themeColor="text1"/>
          <w:sz w:val="22"/>
          <w:szCs w:val="22"/>
          <w:lang w:val="en-GB" w:bidi="ar-SA"/>
        </w:rPr>
        <w:t>last year</w:t>
      </w:r>
      <w:r w:rsidR="00CB4CB7" w:rsidRPr="00996624">
        <w:rPr>
          <w:rFonts w:ascii="Brandon Grotesque Regular" w:eastAsiaTheme="minorEastAsia" w:hAnsi="Brandon Grotesque Regular" w:cstheme="minorHAnsi"/>
          <w:color w:val="000000" w:themeColor="text1"/>
          <w:sz w:val="22"/>
          <w:szCs w:val="22"/>
          <w:lang w:val="en-GB" w:bidi="ar-SA"/>
        </w:rPr>
        <w:t>.</w:t>
      </w:r>
      <w:r w:rsidRPr="00996624">
        <w:rPr>
          <w:rFonts w:ascii="Brandon Grotesque Regular" w:eastAsiaTheme="minorEastAsia" w:hAnsi="Brandon Grotesque Regular" w:cstheme="minorHAnsi"/>
          <w:color w:val="000000" w:themeColor="text1"/>
          <w:sz w:val="22"/>
          <w:szCs w:val="22"/>
          <w:lang w:val="en-GB" w:bidi="ar-SA"/>
        </w:rPr>
        <w:t xml:space="preserve">   As previously noted, our Mortgage customers have remained very resilient.</w:t>
      </w:r>
    </w:p>
    <w:p w14:paraId="7DB1FC36" w14:textId="77777777" w:rsidR="00F41D8A" w:rsidRPr="00996624" w:rsidRDefault="00F41D8A" w:rsidP="00F408E1">
      <w:pPr>
        <w:pStyle w:val="ListParagraph"/>
        <w:spacing w:after="0" w:line="240" w:lineRule="auto"/>
        <w:ind w:left="0"/>
        <w:jc w:val="both"/>
        <w:rPr>
          <w:rFonts w:ascii="Brandon Grotesque Regular" w:eastAsiaTheme="minorEastAsia" w:hAnsi="Brandon Grotesque Regular" w:cstheme="minorHAnsi"/>
          <w:color w:val="000000" w:themeColor="text1"/>
          <w:sz w:val="22"/>
          <w:szCs w:val="22"/>
          <w:lang w:val="en-GB" w:bidi="ar-SA"/>
        </w:rPr>
      </w:pPr>
    </w:p>
    <w:p w14:paraId="30C24D2D" w14:textId="4FFDD92A" w:rsidR="00F41D8A" w:rsidRPr="00996624" w:rsidRDefault="00F41D8A" w:rsidP="00F408E1">
      <w:pPr>
        <w:pStyle w:val="ListParagraph"/>
        <w:numPr>
          <w:ilvl w:val="0"/>
          <w:numId w:val="23"/>
        </w:num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Likewise, Asset Finance 90+ days arrears at 0.32 per cent of AUM </w:t>
      </w:r>
      <w:proofErr w:type="gramStart"/>
      <w:r w:rsidRPr="00996624">
        <w:rPr>
          <w:rFonts w:ascii="Brandon Grotesque Regular" w:eastAsiaTheme="minorEastAsia" w:hAnsi="Brandon Grotesque Regular" w:cstheme="minorHAnsi"/>
          <w:color w:val="000000" w:themeColor="text1"/>
          <w:sz w:val="22"/>
          <w:szCs w:val="22"/>
          <w:lang w:val="en-GB" w:bidi="ar-SA"/>
        </w:rPr>
        <w:t>at</w:t>
      </w:r>
      <w:proofErr w:type="gramEnd"/>
      <w:r w:rsidRPr="00996624">
        <w:rPr>
          <w:rFonts w:ascii="Brandon Grotesque Regular" w:eastAsiaTheme="minorEastAsia" w:hAnsi="Brandon Grotesque Regular" w:cstheme="minorHAnsi"/>
          <w:color w:val="000000" w:themeColor="text1"/>
          <w:sz w:val="22"/>
          <w:szCs w:val="22"/>
          <w:lang w:val="en-GB" w:bidi="ar-SA"/>
        </w:rPr>
        <w:t xml:space="preserve"> </w:t>
      </w:r>
      <w:r w:rsidR="00CB4CB7" w:rsidRPr="00996624">
        <w:rPr>
          <w:rFonts w:ascii="Brandon Grotesque Regular" w:eastAsiaTheme="minorEastAsia" w:hAnsi="Brandon Grotesque Regular" w:cstheme="minorHAnsi"/>
          <w:color w:val="000000" w:themeColor="text1"/>
          <w:sz w:val="22"/>
          <w:szCs w:val="22"/>
          <w:lang w:val="en-GB" w:bidi="ar-SA"/>
        </w:rPr>
        <w:t>June</w:t>
      </w:r>
      <w:r w:rsidRPr="00996624">
        <w:rPr>
          <w:rFonts w:ascii="Brandon Grotesque Regular" w:eastAsiaTheme="minorEastAsia" w:hAnsi="Brandon Grotesque Regular" w:cstheme="minorHAnsi"/>
          <w:color w:val="000000" w:themeColor="text1"/>
          <w:sz w:val="22"/>
          <w:szCs w:val="22"/>
          <w:lang w:val="en-GB" w:bidi="ar-SA"/>
        </w:rPr>
        <w:t xml:space="preserve"> 202</w:t>
      </w:r>
      <w:r w:rsidR="00CB4CB7" w:rsidRPr="00996624">
        <w:rPr>
          <w:rFonts w:ascii="Brandon Grotesque Regular" w:eastAsiaTheme="minorEastAsia" w:hAnsi="Brandon Grotesque Regular" w:cstheme="minorHAnsi"/>
          <w:color w:val="000000" w:themeColor="text1"/>
          <w:sz w:val="22"/>
          <w:szCs w:val="22"/>
          <w:lang w:val="en-GB" w:bidi="ar-SA"/>
        </w:rPr>
        <w:t>5</w:t>
      </w:r>
      <w:r w:rsidRPr="00996624">
        <w:rPr>
          <w:rFonts w:ascii="Brandon Grotesque Regular" w:eastAsiaTheme="minorEastAsia" w:hAnsi="Brandon Grotesque Regular" w:cstheme="minorHAnsi"/>
          <w:color w:val="000000" w:themeColor="text1"/>
          <w:sz w:val="22"/>
          <w:szCs w:val="22"/>
          <w:lang w:val="en-GB" w:bidi="ar-SA"/>
        </w:rPr>
        <w:t xml:space="preserve"> </w:t>
      </w:r>
      <w:r w:rsidR="00E62C71">
        <w:rPr>
          <w:rFonts w:ascii="Brandon Grotesque Regular" w:eastAsiaTheme="minorEastAsia" w:hAnsi="Brandon Grotesque Regular" w:cstheme="minorHAnsi"/>
          <w:color w:val="000000" w:themeColor="text1"/>
          <w:sz w:val="22"/>
          <w:szCs w:val="22"/>
          <w:lang w:val="en-GB" w:bidi="ar-SA"/>
        </w:rPr>
        <w:t>are</w:t>
      </w:r>
      <w:r w:rsidRPr="00996624">
        <w:rPr>
          <w:rFonts w:ascii="Brandon Grotesque Regular" w:eastAsiaTheme="minorEastAsia" w:hAnsi="Brandon Grotesque Regular" w:cstheme="minorHAnsi"/>
          <w:color w:val="000000" w:themeColor="text1"/>
          <w:sz w:val="22"/>
          <w:szCs w:val="22"/>
          <w:lang w:val="en-GB" w:bidi="ar-SA"/>
        </w:rPr>
        <w:t xml:space="preserve"> </w:t>
      </w:r>
      <w:r w:rsidR="00CB4CB7" w:rsidRPr="00996624">
        <w:rPr>
          <w:rFonts w:ascii="Brandon Grotesque Regular" w:eastAsiaTheme="minorEastAsia" w:hAnsi="Brandon Grotesque Regular" w:cstheme="minorHAnsi"/>
          <w:color w:val="000000" w:themeColor="text1"/>
          <w:sz w:val="22"/>
          <w:szCs w:val="22"/>
          <w:lang w:val="en-GB" w:bidi="ar-SA"/>
        </w:rPr>
        <w:t xml:space="preserve">in line with December 2024 and </w:t>
      </w:r>
      <w:r w:rsidRPr="00996624">
        <w:rPr>
          <w:rFonts w:ascii="Brandon Grotesque Regular" w:eastAsiaTheme="minorEastAsia" w:hAnsi="Brandon Grotesque Regular" w:cstheme="minorHAnsi"/>
          <w:color w:val="000000" w:themeColor="text1"/>
          <w:sz w:val="22"/>
          <w:szCs w:val="22"/>
          <w:lang w:val="en-GB" w:bidi="ar-SA"/>
        </w:rPr>
        <w:t xml:space="preserve">marginally down versus June 2024.  As </w:t>
      </w:r>
      <w:r w:rsidR="00CB4CB7" w:rsidRPr="00996624">
        <w:rPr>
          <w:rFonts w:ascii="Brandon Grotesque Regular" w:eastAsiaTheme="minorEastAsia" w:hAnsi="Brandon Grotesque Regular" w:cstheme="minorHAnsi"/>
          <w:color w:val="000000" w:themeColor="text1"/>
          <w:sz w:val="22"/>
          <w:szCs w:val="22"/>
          <w:lang w:val="en-GB" w:bidi="ar-SA"/>
        </w:rPr>
        <w:t>noted</w:t>
      </w:r>
      <w:r w:rsidRPr="00996624">
        <w:rPr>
          <w:rFonts w:ascii="Brandon Grotesque Regular" w:eastAsiaTheme="minorEastAsia" w:hAnsi="Brandon Grotesque Regular" w:cstheme="minorHAnsi"/>
          <w:color w:val="000000" w:themeColor="text1"/>
          <w:sz w:val="22"/>
          <w:szCs w:val="22"/>
          <w:lang w:val="en-GB" w:bidi="ar-SA"/>
        </w:rPr>
        <w:t xml:space="preserve">, </w:t>
      </w:r>
      <w:r w:rsidR="00EB0788">
        <w:rPr>
          <w:rFonts w:ascii="Brandon Grotesque Regular" w:eastAsiaTheme="minorEastAsia" w:hAnsi="Brandon Grotesque Regular" w:cstheme="minorHAnsi"/>
          <w:color w:val="000000" w:themeColor="text1"/>
          <w:sz w:val="22"/>
          <w:szCs w:val="22"/>
          <w:lang w:val="en-GB" w:bidi="ar-SA"/>
        </w:rPr>
        <w:t xml:space="preserve">this is due to </w:t>
      </w:r>
      <w:r w:rsidRPr="00996624">
        <w:rPr>
          <w:rFonts w:ascii="Brandon Grotesque Regular" w:eastAsiaTheme="minorEastAsia" w:hAnsi="Brandon Grotesque Regular" w:cstheme="minorHAnsi"/>
          <w:color w:val="000000" w:themeColor="text1"/>
          <w:sz w:val="22"/>
          <w:szCs w:val="22"/>
          <w:lang w:val="en-GB" w:bidi="ar-SA"/>
        </w:rPr>
        <w:t xml:space="preserve">the Origination profile for Asset Finance </w:t>
      </w:r>
      <w:r w:rsidR="00EB0788">
        <w:rPr>
          <w:rFonts w:ascii="Brandon Grotesque Regular" w:eastAsiaTheme="minorEastAsia" w:hAnsi="Brandon Grotesque Regular" w:cstheme="minorHAnsi"/>
          <w:color w:val="000000" w:themeColor="text1"/>
          <w:sz w:val="22"/>
          <w:szCs w:val="22"/>
          <w:lang w:val="en-GB" w:bidi="ar-SA"/>
        </w:rPr>
        <w:t>being</w:t>
      </w:r>
      <w:r w:rsidRPr="00996624">
        <w:rPr>
          <w:rFonts w:ascii="Brandon Grotesque Regular" w:eastAsiaTheme="minorEastAsia" w:hAnsi="Brandon Grotesque Regular" w:cstheme="minorHAnsi"/>
          <w:color w:val="000000" w:themeColor="text1"/>
          <w:sz w:val="22"/>
          <w:szCs w:val="22"/>
          <w:lang w:val="en-GB" w:bidi="ar-SA"/>
        </w:rPr>
        <w:t xml:space="preserve"> weighted to Novated Lease </w:t>
      </w:r>
      <w:r w:rsidR="00267917">
        <w:rPr>
          <w:rFonts w:ascii="Brandon Grotesque Regular" w:eastAsiaTheme="minorEastAsia" w:hAnsi="Brandon Grotesque Regular" w:cstheme="minorHAnsi"/>
          <w:color w:val="000000" w:themeColor="text1"/>
          <w:sz w:val="22"/>
          <w:szCs w:val="22"/>
          <w:lang w:val="en-GB" w:bidi="ar-SA"/>
        </w:rPr>
        <w:t>and</w:t>
      </w:r>
      <w:r w:rsidRPr="00996624">
        <w:rPr>
          <w:rFonts w:ascii="Brandon Grotesque Regular" w:eastAsiaTheme="minorEastAsia" w:hAnsi="Brandon Grotesque Regular" w:cstheme="minorHAnsi"/>
          <w:color w:val="000000" w:themeColor="text1"/>
          <w:sz w:val="22"/>
          <w:szCs w:val="22"/>
          <w:lang w:val="en-GB" w:bidi="ar-SA"/>
        </w:rPr>
        <w:t xml:space="preserve"> Tier A customers </w:t>
      </w:r>
    </w:p>
    <w:p w14:paraId="0AA47D51" w14:textId="77777777" w:rsidR="00CB4CB7" w:rsidRPr="00996624" w:rsidRDefault="00CB4CB7" w:rsidP="00F408E1">
      <w:pPr>
        <w:pStyle w:val="ListParagraph"/>
        <w:spacing w:after="0" w:line="240" w:lineRule="auto"/>
        <w:ind w:left="284"/>
        <w:rPr>
          <w:rFonts w:ascii="Brandon Grotesque Regular" w:eastAsiaTheme="minorEastAsia" w:hAnsi="Brandon Grotesque Regular" w:cstheme="minorHAnsi"/>
          <w:color w:val="000000" w:themeColor="text1"/>
          <w:sz w:val="22"/>
          <w:szCs w:val="22"/>
          <w:lang w:val="en-GB" w:bidi="ar-SA"/>
        </w:rPr>
      </w:pPr>
    </w:p>
    <w:p w14:paraId="30BBC716" w14:textId="7A0647E5" w:rsidR="00CB4CB7" w:rsidRPr="00F408E1" w:rsidRDefault="00CB4CB7"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bidi="ar-SA"/>
        </w:rPr>
      </w:pPr>
      <w:r w:rsidRPr="00F408E1">
        <w:rPr>
          <w:rFonts w:ascii="Brandon Grotesque Regular" w:eastAsiaTheme="minorEastAsia" w:hAnsi="Brandon Grotesque Regular" w:cstheme="minorHAnsi"/>
          <w:color w:val="000000" w:themeColor="text1"/>
          <w:sz w:val="22"/>
          <w:szCs w:val="22"/>
          <w:lang w:bidi="ar-SA"/>
        </w:rPr>
        <w:t>Turning to expenses on slide 15.</w:t>
      </w:r>
      <w:r w:rsidR="00F408E1" w:rsidRPr="00F408E1">
        <w:rPr>
          <w:rFonts w:ascii="Brandon Grotesque Regular" w:eastAsiaTheme="minorEastAsia" w:hAnsi="Brandon Grotesque Regular" w:cstheme="minorHAnsi"/>
          <w:color w:val="000000" w:themeColor="text1"/>
          <w:sz w:val="22"/>
          <w:szCs w:val="22"/>
          <w:lang w:bidi="ar-SA"/>
        </w:rPr>
        <w:t xml:space="preserve"> </w:t>
      </w:r>
    </w:p>
    <w:p w14:paraId="6CCA9381" w14:textId="77777777" w:rsidR="00F408E1" w:rsidRPr="00996624" w:rsidRDefault="00F408E1" w:rsidP="00F408E1">
      <w:pPr>
        <w:pStyle w:val="ListParagraph"/>
        <w:spacing w:after="0" w:line="240" w:lineRule="auto"/>
        <w:ind w:left="284"/>
        <w:rPr>
          <w:rFonts w:ascii="Brandon Grotesque Regular" w:eastAsiaTheme="minorEastAsia" w:hAnsi="Brandon Grotesque Regular" w:cstheme="minorHAnsi"/>
          <w:b/>
          <w:bCs/>
          <w:color w:val="000000" w:themeColor="text1"/>
          <w:sz w:val="22"/>
          <w:szCs w:val="22"/>
          <w:lang w:bidi="ar-SA"/>
        </w:rPr>
      </w:pPr>
    </w:p>
    <w:p w14:paraId="0AC2F522" w14:textId="77777777" w:rsidR="00C349B6" w:rsidRPr="00F408E1" w:rsidRDefault="00C349B6"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15</w:t>
      </w:r>
    </w:p>
    <w:p w14:paraId="7442BD17" w14:textId="24872E0C" w:rsidR="00C349B6" w:rsidRPr="00A03679" w:rsidRDefault="00C349B6" w:rsidP="00F408E1">
      <w:pPr>
        <w:spacing w:after="0" w:line="240" w:lineRule="auto"/>
        <w:rPr>
          <w:rFonts w:ascii="Brandon Grotesque Regular" w:hAnsi="Brandon Grotesque Regular" w:cstheme="minorHAnsi"/>
          <w:color w:val="000000"/>
          <w:sz w:val="20"/>
          <w:szCs w:val="20"/>
          <w:highlight w:val="yellow"/>
          <w:lang w:val="en-GB"/>
        </w:rPr>
      </w:pPr>
    </w:p>
    <w:p w14:paraId="1EA2D91A" w14:textId="7CA54BFF" w:rsidR="002765BC" w:rsidRPr="00996624" w:rsidRDefault="00160D35" w:rsidP="00F408E1">
      <w:pPr>
        <w:tabs>
          <w:tab w:val="left" w:pos="3931"/>
        </w:tabs>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continue to demonstrate how </w:t>
      </w:r>
      <w:r w:rsidR="002765BC" w:rsidRPr="00996624">
        <w:rPr>
          <w:rFonts w:ascii="Brandon Grotesque Regular" w:eastAsiaTheme="minorEastAsia" w:hAnsi="Brandon Grotesque Regular" w:cstheme="minorHAnsi"/>
          <w:color w:val="000000" w:themeColor="text1"/>
          <w:sz w:val="22"/>
          <w:szCs w:val="22"/>
          <w:lang w:val="en-GB" w:bidi="ar-SA"/>
        </w:rPr>
        <w:t>discipline</w:t>
      </w:r>
      <w:r w:rsidRPr="00996624">
        <w:rPr>
          <w:rFonts w:ascii="Brandon Grotesque Regular" w:eastAsiaTheme="minorEastAsia" w:hAnsi="Brandon Grotesque Regular" w:cstheme="minorHAnsi"/>
          <w:color w:val="000000" w:themeColor="text1"/>
          <w:sz w:val="22"/>
          <w:szCs w:val="22"/>
          <w:lang w:val="en-GB" w:bidi="ar-SA"/>
        </w:rPr>
        <w:t>d we are</w:t>
      </w:r>
      <w:r w:rsidR="002765BC" w:rsidRPr="00996624">
        <w:rPr>
          <w:rFonts w:ascii="Brandon Grotesque Regular" w:eastAsiaTheme="minorEastAsia" w:hAnsi="Brandon Grotesque Regular" w:cstheme="minorHAnsi"/>
          <w:color w:val="000000" w:themeColor="text1"/>
          <w:sz w:val="22"/>
          <w:szCs w:val="22"/>
          <w:lang w:val="en-GB" w:bidi="ar-SA"/>
        </w:rPr>
        <w:t xml:space="preserve"> in our approach to cost management</w:t>
      </w:r>
      <w:r w:rsidR="00E62C71">
        <w:rPr>
          <w:rFonts w:ascii="Brandon Grotesque Regular" w:eastAsiaTheme="minorEastAsia" w:hAnsi="Brandon Grotesque Regular" w:cstheme="minorHAnsi"/>
          <w:color w:val="000000" w:themeColor="text1"/>
          <w:sz w:val="22"/>
          <w:szCs w:val="22"/>
          <w:lang w:val="en-GB" w:bidi="ar-SA"/>
        </w:rPr>
        <w:t>. O</w:t>
      </w:r>
      <w:r w:rsidR="002765BC" w:rsidRPr="00996624">
        <w:rPr>
          <w:rFonts w:ascii="Brandon Grotesque Regular" w:eastAsiaTheme="minorEastAsia" w:hAnsi="Brandon Grotesque Regular" w:cstheme="minorHAnsi"/>
          <w:color w:val="000000" w:themeColor="text1"/>
          <w:sz w:val="22"/>
          <w:szCs w:val="22"/>
          <w:lang w:val="en-GB" w:bidi="ar-SA"/>
        </w:rPr>
        <w:t>ur focus on driving efficiencies through scaled platforms and process improvements, continues to deliver benefits</w:t>
      </w:r>
      <w:r w:rsidR="00E62C71">
        <w:rPr>
          <w:rFonts w:ascii="Brandon Grotesque Regular" w:eastAsiaTheme="minorEastAsia" w:hAnsi="Brandon Grotesque Regular" w:cstheme="minorHAnsi"/>
          <w:color w:val="000000" w:themeColor="text1"/>
          <w:sz w:val="22"/>
          <w:szCs w:val="22"/>
          <w:lang w:val="en-GB" w:bidi="ar-SA"/>
        </w:rPr>
        <w:t>.</w:t>
      </w:r>
    </w:p>
    <w:p w14:paraId="15998B41" w14:textId="77777777" w:rsidR="002765BC" w:rsidRPr="00996624" w:rsidRDefault="002765BC" w:rsidP="00F408E1">
      <w:pPr>
        <w:pStyle w:val="BodyBullet"/>
        <w:numPr>
          <w:ilvl w:val="0"/>
          <w:numId w:val="0"/>
        </w:numPr>
        <w:spacing w:before="0" w:after="0" w:line="240" w:lineRule="auto"/>
        <w:rPr>
          <w:rFonts w:ascii="Brandon Grotesque Regular" w:hAnsi="Brandon Grotesque Regular"/>
          <w:b/>
          <w:bCs/>
          <w:color w:val="000000" w:themeColor="text1"/>
          <w:sz w:val="22"/>
          <w:szCs w:val="22"/>
          <w:lang w:val="en-AU"/>
        </w:rPr>
      </w:pPr>
    </w:p>
    <w:p w14:paraId="2343309B" w14:textId="7EA08F59" w:rsidR="00CB4CB7" w:rsidRPr="00996624" w:rsidRDefault="00CB4CB7" w:rsidP="00F408E1">
      <w:pPr>
        <w:pStyle w:val="BodyBullet"/>
        <w:numPr>
          <w:ilvl w:val="0"/>
          <w:numId w:val="0"/>
        </w:numPr>
        <w:spacing w:before="0" w:after="0" w:line="240" w:lineRule="auto"/>
        <w:rPr>
          <w:rFonts w:ascii="Brandon Grotesque Regular" w:hAnsi="Brandon Grotesque Regular"/>
          <w:b/>
          <w:bCs/>
          <w:color w:val="000000" w:themeColor="text1"/>
          <w:sz w:val="22"/>
          <w:szCs w:val="22"/>
          <w:lang w:val="en-AU"/>
        </w:rPr>
      </w:pPr>
      <w:r w:rsidRPr="00996624">
        <w:rPr>
          <w:rFonts w:ascii="Brandon Grotesque Regular" w:hAnsi="Brandon Grotesque Regular"/>
          <w:b/>
          <w:bCs/>
          <w:color w:val="000000" w:themeColor="text1"/>
          <w:sz w:val="22"/>
          <w:szCs w:val="22"/>
          <w:lang w:val="en-AU"/>
        </w:rPr>
        <w:t>Total expenses</w:t>
      </w:r>
      <w:r w:rsidR="002765BC" w:rsidRPr="00996624">
        <w:rPr>
          <w:rFonts w:ascii="Brandon Grotesque Regular" w:hAnsi="Brandon Grotesque Regular"/>
          <w:b/>
          <w:bCs/>
          <w:color w:val="000000" w:themeColor="text1"/>
          <w:sz w:val="22"/>
          <w:szCs w:val="22"/>
          <w:lang w:val="en-AU"/>
        </w:rPr>
        <w:t>, at $116.</w:t>
      </w:r>
      <w:r w:rsidR="00D3337B">
        <w:rPr>
          <w:rFonts w:ascii="Brandon Grotesque Regular" w:hAnsi="Brandon Grotesque Regular"/>
          <w:b/>
          <w:bCs/>
          <w:color w:val="000000" w:themeColor="text1"/>
          <w:sz w:val="22"/>
          <w:szCs w:val="22"/>
          <w:lang w:val="en-AU"/>
        </w:rPr>
        <w:t>7</w:t>
      </w:r>
      <w:r w:rsidR="002765BC" w:rsidRPr="00996624">
        <w:rPr>
          <w:rFonts w:ascii="Brandon Grotesque Regular" w:hAnsi="Brandon Grotesque Regular"/>
          <w:b/>
          <w:bCs/>
          <w:color w:val="000000" w:themeColor="text1"/>
          <w:sz w:val="22"/>
          <w:szCs w:val="22"/>
          <w:lang w:val="en-AU"/>
        </w:rPr>
        <w:t xml:space="preserve"> million</w:t>
      </w:r>
      <w:r w:rsidR="00160D35" w:rsidRPr="00996624">
        <w:rPr>
          <w:rFonts w:ascii="Brandon Grotesque Regular" w:hAnsi="Brandon Grotesque Regular"/>
          <w:b/>
          <w:bCs/>
          <w:color w:val="000000" w:themeColor="text1"/>
          <w:sz w:val="22"/>
          <w:szCs w:val="22"/>
          <w:lang w:val="en-AU"/>
        </w:rPr>
        <w:t>,</w:t>
      </w:r>
      <w:r w:rsidRPr="00996624">
        <w:rPr>
          <w:rFonts w:ascii="Brandon Grotesque Regular" w:hAnsi="Brandon Grotesque Regular"/>
          <w:b/>
          <w:bCs/>
          <w:color w:val="000000" w:themeColor="text1"/>
          <w:sz w:val="22"/>
          <w:szCs w:val="22"/>
          <w:lang w:val="en-AU"/>
        </w:rPr>
        <w:t xml:space="preserve"> reduced by $2.9 million, </w:t>
      </w:r>
      <w:r w:rsidR="00E62C71">
        <w:rPr>
          <w:rFonts w:ascii="Brandon Grotesque Regular" w:hAnsi="Brandon Grotesque Regular"/>
          <w:b/>
          <w:bCs/>
          <w:color w:val="000000" w:themeColor="text1"/>
          <w:sz w:val="22"/>
          <w:szCs w:val="22"/>
          <w:lang w:val="en-AU"/>
        </w:rPr>
        <w:t xml:space="preserve">or </w:t>
      </w:r>
      <w:r w:rsidRPr="00996624">
        <w:rPr>
          <w:rFonts w:ascii="Brandon Grotesque Regular" w:hAnsi="Brandon Grotesque Regular"/>
          <w:b/>
          <w:bCs/>
          <w:color w:val="000000" w:themeColor="text1"/>
          <w:sz w:val="22"/>
          <w:szCs w:val="22"/>
          <w:lang w:val="en-AU"/>
        </w:rPr>
        <w:t>2%, on PCP</w:t>
      </w:r>
    </w:p>
    <w:p w14:paraId="2E59AC75" w14:textId="77777777" w:rsidR="00CB4CB7" w:rsidRPr="00996624"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Employee benefit expense decreased 3% on PCP, as ongoing scale and process efficiencies deliver benefits over and above wage inflation.</w:t>
      </w:r>
    </w:p>
    <w:p w14:paraId="4139D5BA" w14:textId="3D82AB6B" w:rsidR="00CB4CB7" w:rsidRPr="00996624"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Marketing expense, reduced by 11% on PCP, given the initial impact of</w:t>
      </w:r>
      <w:r w:rsidR="0086377F">
        <w:rPr>
          <w:rFonts w:ascii="Brandon Grotesque Regular" w:eastAsiaTheme="minorEastAsia" w:hAnsi="Brandon Grotesque Regular" w:cstheme="minorHAnsi"/>
          <w:color w:val="000000" w:themeColor="text1"/>
          <w:sz w:val="22"/>
          <w:szCs w:val="22"/>
          <w:lang w:val="en-GB" w:bidi="ar-SA"/>
        </w:rPr>
        <w:t xml:space="preserve"> the</w:t>
      </w:r>
      <w:r w:rsidR="009D130A">
        <w:rPr>
          <w:rFonts w:ascii="Brandon Grotesque Regular" w:eastAsiaTheme="minorEastAsia" w:hAnsi="Brandon Grotesque Regular" w:cstheme="minorHAnsi"/>
          <w:color w:val="000000" w:themeColor="text1"/>
          <w:sz w:val="22"/>
          <w:szCs w:val="22"/>
          <w:lang w:val="en-GB" w:bidi="ar-SA"/>
        </w:rPr>
        <w:t xml:space="preserve"> </w:t>
      </w:r>
      <w:r w:rsidRPr="00996624">
        <w:rPr>
          <w:rFonts w:ascii="Brandon Grotesque Regular" w:eastAsiaTheme="minorEastAsia" w:hAnsi="Brandon Grotesque Regular" w:cstheme="minorHAnsi"/>
          <w:color w:val="000000" w:themeColor="text1"/>
          <w:sz w:val="22"/>
          <w:szCs w:val="22"/>
          <w:lang w:val="en-GB" w:bidi="ar-SA"/>
        </w:rPr>
        <w:t xml:space="preserve">new sponsorship </w:t>
      </w:r>
      <w:r w:rsidR="00E62C71">
        <w:rPr>
          <w:rFonts w:ascii="Brandon Grotesque Regular" w:eastAsiaTheme="minorEastAsia" w:hAnsi="Brandon Grotesque Regular" w:cstheme="minorHAnsi"/>
          <w:color w:val="000000" w:themeColor="text1"/>
          <w:sz w:val="22"/>
          <w:szCs w:val="22"/>
          <w:lang w:val="en-GB" w:bidi="ar-SA"/>
        </w:rPr>
        <w:t xml:space="preserve">with West Tigers - </w:t>
      </w:r>
      <w:r w:rsidRPr="00996624">
        <w:rPr>
          <w:rFonts w:ascii="Brandon Grotesque Regular" w:eastAsiaTheme="minorEastAsia" w:hAnsi="Brandon Grotesque Regular" w:cstheme="minorHAnsi"/>
          <w:color w:val="000000" w:themeColor="text1"/>
          <w:sz w:val="22"/>
          <w:szCs w:val="22"/>
          <w:lang w:val="en-GB" w:bidi="ar-SA"/>
        </w:rPr>
        <w:t xml:space="preserve">was reported in </w:t>
      </w:r>
      <w:r w:rsidR="00E62C71">
        <w:rPr>
          <w:rFonts w:ascii="Brandon Grotesque Regular" w:eastAsiaTheme="minorEastAsia" w:hAnsi="Brandon Grotesque Regular" w:cstheme="minorHAnsi"/>
          <w:color w:val="000000" w:themeColor="text1"/>
          <w:sz w:val="22"/>
          <w:szCs w:val="22"/>
          <w:lang w:val="en-GB" w:bidi="ar-SA"/>
        </w:rPr>
        <w:t>the second half of 2024.</w:t>
      </w:r>
      <w:r w:rsidRPr="00996624">
        <w:rPr>
          <w:rFonts w:ascii="Brandon Grotesque Regular" w:eastAsiaTheme="minorEastAsia" w:hAnsi="Brandon Grotesque Regular" w:cstheme="minorHAnsi"/>
          <w:color w:val="000000" w:themeColor="text1"/>
          <w:sz w:val="22"/>
          <w:szCs w:val="22"/>
          <w:lang w:val="en-GB" w:bidi="ar-SA"/>
        </w:rPr>
        <w:t xml:space="preserve"> </w:t>
      </w:r>
    </w:p>
    <w:p w14:paraId="62C91683" w14:textId="46A822D3" w:rsidR="00CB4CB7" w:rsidRPr="00996624" w:rsidRDefault="00EE0CF4"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Pr>
          <w:rFonts w:ascii="Brandon Grotesque Regular" w:eastAsiaTheme="minorEastAsia" w:hAnsi="Brandon Grotesque Regular" w:cstheme="minorHAnsi"/>
          <w:color w:val="000000" w:themeColor="text1"/>
          <w:sz w:val="22"/>
          <w:szCs w:val="22"/>
          <w:lang w:val="en-GB" w:bidi="ar-SA"/>
        </w:rPr>
        <w:t>Fair value loss</w:t>
      </w:r>
      <w:r w:rsidR="00CB4CB7" w:rsidRPr="00996624">
        <w:rPr>
          <w:rFonts w:ascii="Brandon Grotesque Regular" w:eastAsiaTheme="minorEastAsia" w:hAnsi="Brandon Grotesque Regular" w:cstheme="minorHAnsi"/>
          <w:color w:val="000000" w:themeColor="text1"/>
          <w:sz w:val="22"/>
          <w:szCs w:val="22"/>
          <w:lang w:val="en-GB" w:bidi="ar-SA"/>
        </w:rPr>
        <w:t xml:space="preserve"> in equity investments </w:t>
      </w:r>
      <w:proofErr w:type="gramStart"/>
      <w:r w:rsidR="00CB4CB7" w:rsidRPr="00996624">
        <w:rPr>
          <w:rFonts w:ascii="Brandon Grotesque Regular" w:eastAsiaTheme="minorEastAsia" w:hAnsi="Brandon Grotesque Regular" w:cstheme="minorHAnsi"/>
          <w:color w:val="000000" w:themeColor="text1"/>
          <w:sz w:val="22"/>
          <w:szCs w:val="22"/>
          <w:lang w:val="en-GB" w:bidi="ar-SA"/>
        </w:rPr>
        <w:t>were</w:t>
      </w:r>
      <w:proofErr w:type="gramEnd"/>
      <w:r w:rsidR="00CB4CB7" w:rsidRPr="00996624">
        <w:rPr>
          <w:rFonts w:ascii="Brandon Grotesque Regular" w:eastAsiaTheme="minorEastAsia" w:hAnsi="Brandon Grotesque Regular" w:cstheme="minorHAnsi"/>
          <w:color w:val="000000" w:themeColor="text1"/>
          <w:sz w:val="22"/>
          <w:szCs w:val="22"/>
          <w:lang w:val="en-GB" w:bidi="ar-SA"/>
        </w:rPr>
        <w:t xml:space="preserve"> $(0.8) million adverse versus PCP reflecting mark to market.</w:t>
      </w:r>
    </w:p>
    <w:p w14:paraId="20962ED3" w14:textId="56272E66" w:rsidR="002765BC" w:rsidRPr="00E62C71"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E62C71">
        <w:rPr>
          <w:rFonts w:ascii="Brandon Grotesque Regular" w:eastAsiaTheme="minorEastAsia" w:hAnsi="Brandon Grotesque Regular" w:cstheme="minorHAnsi"/>
          <w:color w:val="000000" w:themeColor="text1"/>
          <w:sz w:val="22"/>
          <w:szCs w:val="22"/>
          <w:lang w:val="en-GB" w:bidi="ar-SA"/>
        </w:rPr>
        <w:t xml:space="preserve">Technology expense increased (15%), on PCP - expenses shifting in part from capitalised to operating. </w:t>
      </w:r>
      <w:r w:rsidR="00E62C71" w:rsidRPr="00E62C71">
        <w:rPr>
          <w:rFonts w:ascii="Brandon Grotesque Regular" w:eastAsiaTheme="minorEastAsia" w:hAnsi="Brandon Grotesque Regular" w:cstheme="minorHAnsi"/>
          <w:color w:val="000000" w:themeColor="text1"/>
          <w:sz w:val="22"/>
          <w:szCs w:val="22"/>
          <w:lang w:val="en-GB" w:bidi="ar-SA"/>
        </w:rPr>
        <w:t xml:space="preserve">  This is reflected through </w:t>
      </w:r>
      <w:r w:rsidRPr="00E62C71">
        <w:rPr>
          <w:rFonts w:ascii="Brandon Grotesque Regular" w:eastAsiaTheme="minorEastAsia" w:hAnsi="Brandon Grotesque Regular" w:cstheme="minorHAnsi"/>
          <w:color w:val="000000" w:themeColor="text1"/>
          <w:sz w:val="22"/>
          <w:szCs w:val="22"/>
          <w:lang w:val="en-GB" w:bidi="ar-SA"/>
        </w:rPr>
        <w:t xml:space="preserve">Depreciation and amortisation expense </w:t>
      </w:r>
      <w:r w:rsidR="00E62C71" w:rsidRPr="00E62C71">
        <w:rPr>
          <w:rFonts w:ascii="Brandon Grotesque Regular" w:eastAsiaTheme="minorEastAsia" w:hAnsi="Brandon Grotesque Regular" w:cstheme="minorHAnsi"/>
          <w:color w:val="000000" w:themeColor="text1"/>
          <w:sz w:val="22"/>
          <w:szCs w:val="22"/>
          <w:lang w:val="en-GB" w:bidi="ar-SA"/>
        </w:rPr>
        <w:t xml:space="preserve">which </w:t>
      </w:r>
      <w:r w:rsidRPr="00E62C71">
        <w:rPr>
          <w:rFonts w:ascii="Brandon Grotesque Regular" w:eastAsiaTheme="minorEastAsia" w:hAnsi="Brandon Grotesque Regular" w:cstheme="minorHAnsi"/>
          <w:color w:val="000000" w:themeColor="text1"/>
          <w:sz w:val="22"/>
          <w:szCs w:val="22"/>
          <w:lang w:val="en-GB" w:bidi="ar-SA"/>
        </w:rPr>
        <w:t>declined 7% over the same period.</w:t>
      </w:r>
    </w:p>
    <w:p w14:paraId="3F39C59D" w14:textId="1C08A98F" w:rsidR="00CB4CB7" w:rsidRPr="00996624" w:rsidRDefault="00CB4CB7" w:rsidP="00F408E1">
      <w:pPr>
        <w:pStyle w:val="ListParagraph"/>
        <w:numPr>
          <w:ilvl w:val="0"/>
          <w:numId w:val="16"/>
        </w:numPr>
        <w:spacing w:after="0" w:line="240" w:lineRule="auto"/>
        <w:ind w:left="851" w:hanging="283"/>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Corporate Interest expense improved by $1.6 million on PCP reflecting </w:t>
      </w:r>
      <w:r w:rsidR="00070155">
        <w:rPr>
          <w:rFonts w:ascii="Brandon Grotesque Regular" w:eastAsiaTheme="minorEastAsia" w:hAnsi="Brandon Grotesque Regular" w:cstheme="minorHAnsi"/>
          <w:color w:val="000000" w:themeColor="text1"/>
          <w:sz w:val="22"/>
          <w:szCs w:val="22"/>
          <w:lang w:val="en-GB" w:bidi="ar-SA"/>
        </w:rPr>
        <w:t xml:space="preserve">the </w:t>
      </w:r>
      <w:r w:rsidRPr="00996624">
        <w:rPr>
          <w:rFonts w:ascii="Brandon Grotesque Regular" w:eastAsiaTheme="minorEastAsia" w:hAnsi="Brandon Grotesque Regular" w:cstheme="minorHAnsi"/>
          <w:color w:val="000000" w:themeColor="text1"/>
          <w:sz w:val="22"/>
          <w:szCs w:val="22"/>
          <w:lang w:val="en-GB" w:bidi="ar-SA"/>
        </w:rPr>
        <w:t>$57.5 million reduction in the drawn balance of the Corporate Debt Facility</w:t>
      </w:r>
      <w:r w:rsidR="00B20B25">
        <w:rPr>
          <w:rFonts w:ascii="Brandon Grotesque Regular" w:hAnsi="Brandon Grotesque Regular"/>
          <w:sz w:val="22"/>
          <w:szCs w:val="22"/>
        </w:rPr>
        <w:t xml:space="preserve">, and </w:t>
      </w:r>
      <w:r w:rsidR="00BA19A4">
        <w:rPr>
          <w:rFonts w:ascii="Brandon Grotesque Regular" w:hAnsi="Brandon Grotesque Regular"/>
          <w:sz w:val="22"/>
          <w:szCs w:val="22"/>
        </w:rPr>
        <w:t>$25</w:t>
      </w:r>
      <w:r w:rsidR="00A323AA">
        <w:rPr>
          <w:rFonts w:ascii="Brandon Grotesque Regular" w:hAnsi="Brandon Grotesque Regular"/>
          <w:sz w:val="22"/>
          <w:szCs w:val="22"/>
        </w:rPr>
        <w:t xml:space="preserve">.0 </w:t>
      </w:r>
      <w:r w:rsidR="00BA19A4">
        <w:rPr>
          <w:rFonts w:ascii="Brandon Grotesque Regular" w:hAnsi="Brandon Grotesque Regular"/>
          <w:sz w:val="22"/>
          <w:szCs w:val="22"/>
        </w:rPr>
        <w:t>m</w:t>
      </w:r>
      <w:r w:rsidR="00A323AA">
        <w:rPr>
          <w:rFonts w:ascii="Brandon Grotesque Regular" w:hAnsi="Brandon Grotesque Regular"/>
          <w:sz w:val="22"/>
          <w:szCs w:val="22"/>
        </w:rPr>
        <w:t xml:space="preserve">illion </w:t>
      </w:r>
      <w:r w:rsidR="002048C0">
        <w:rPr>
          <w:rFonts w:ascii="Brandon Grotesque Regular" w:hAnsi="Brandon Grotesque Regular"/>
          <w:sz w:val="22"/>
          <w:szCs w:val="22"/>
        </w:rPr>
        <w:t>of Subordinated</w:t>
      </w:r>
      <w:r w:rsidR="00A323AA">
        <w:rPr>
          <w:rFonts w:ascii="Brandon Grotesque Regular" w:hAnsi="Brandon Grotesque Regular"/>
          <w:sz w:val="22"/>
          <w:szCs w:val="22"/>
        </w:rPr>
        <w:t xml:space="preserve"> Debt</w:t>
      </w:r>
      <w:r w:rsidR="00BA19A4">
        <w:rPr>
          <w:rFonts w:ascii="Brandon Grotesque Regular" w:hAnsi="Brandon Grotesque Regular"/>
          <w:sz w:val="22"/>
          <w:szCs w:val="22"/>
        </w:rPr>
        <w:t xml:space="preserve"> retirement in</w:t>
      </w:r>
      <w:r w:rsidR="00A323AA">
        <w:rPr>
          <w:rFonts w:ascii="Brandon Grotesque Regular" w:hAnsi="Brandon Grotesque Regular"/>
          <w:sz w:val="22"/>
          <w:szCs w:val="22"/>
        </w:rPr>
        <w:t xml:space="preserve"> the second half of </w:t>
      </w:r>
      <w:r w:rsidR="00BA19A4">
        <w:rPr>
          <w:rFonts w:ascii="Brandon Grotesque Regular" w:hAnsi="Brandon Grotesque Regular"/>
          <w:sz w:val="22"/>
          <w:szCs w:val="22"/>
        </w:rPr>
        <w:t xml:space="preserve">2024. </w:t>
      </w:r>
    </w:p>
    <w:p w14:paraId="632DC91F" w14:textId="6C841AFE" w:rsidR="00160D35" w:rsidRPr="00996624" w:rsidRDefault="00160D35"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3AFE526" w14:textId="77777777" w:rsidR="00F408E1" w:rsidRPr="00F408E1" w:rsidRDefault="00160D35" w:rsidP="00F408E1">
      <w:pPr>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Turning to slide 16</w:t>
      </w:r>
      <w:r w:rsidR="00996624" w:rsidRPr="00F408E1">
        <w:rPr>
          <w:rFonts w:ascii="Brandon Grotesque Regular" w:eastAsiaTheme="minorEastAsia" w:hAnsi="Brandon Grotesque Regular" w:cstheme="minorHAnsi"/>
          <w:color w:val="000000" w:themeColor="text1"/>
          <w:sz w:val="22"/>
          <w:szCs w:val="22"/>
          <w:lang w:val="en-GB" w:bidi="ar-SA"/>
        </w:rPr>
        <w:t>.</w:t>
      </w:r>
      <w:r w:rsidRPr="00F408E1">
        <w:rPr>
          <w:rFonts w:ascii="Brandon Grotesque Regular" w:eastAsiaTheme="minorEastAsia" w:hAnsi="Brandon Grotesque Regular" w:cstheme="minorHAnsi"/>
          <w:color w:val="000000" w:themeColor="text1"/>
          <w:sz w:val="22"/>
          <w:szCs w:val="22"/>
          <w:lang w:val="en-GB" w:bidi="ar-SA"/>
        </w:rPr>
        <w:t xml:space="preserve"> </w:t>
      </w:r>
      <w:r w:rsidR="00F408E1" w:rsidRPr="00F408E1">
        <w:rPr>
          <w:rFonts w:ascii="Brandon Grotesque Regular" w:eastAsiaTheme="minorEastAsia" w:hAnsi="Brandon Grotesque Regular" w:cstheme="minorHAnsi"/>
          <w:color w:val="000000" w:themeColor="text1"/>
          <w:sz w:val="22"/>
          <w:szCs w:val="22"/>
          <w:lang w:val="en-GB" w:bidi="ar-SA"/>
        </w:rPr>
        <w:t xml:space="preserve"> </w:t>
      </w:r>
    </w:p>
    <w:p w14:paraId="7C84E50F" w14:textId="77777777" w:rsidR="00F408E1" w:rsidRDefault="00F408E1" w:rsidP="00F408E1">
      <w:pPr>
        <w:spacing w:after="0" w:line="240" w:lineRule="auto"/>
        <w:jc w:val="both"/>
        <w:rPr>
          <w:rFonts w:ascii="Brandon Grotesque Regular" w:eastAsiaTheme="minorEastAsia" w:hAnsi="Brandon Grotesque Regular" w:cstheme="minorHAnsi"/>
          <w:b/>
          <w:bCs/>
          <w:color w:val="000000" w:themeColor="text1"/>
          <w:sz w:val="22"/>
          <w:szCs w:val="22"/>
          <w:lang w:val="en-GB" w:bidi="ar-SA"/>
        </w:rPr>
      </w:pPr>
    </w:p>
    <w:p w14:paraId="6EC6931D" w14:textId="7DF6B4D9" w:rsidR="00C349B6" w:rsidRPr="00F408E1" w:rsidRDefault="00C349B6" w:rsidP="00F408E1">
      <w:pPr>
        <w:spacing w:after="0" w:line="240" w:lineRule="auto"/>
        <w:jc w:val="both"/>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16</w:t>
      </w:r>
    </w:p>
    <w:p w14:paraId="5306B53F" w14:textId="45C9C835" w:rsidR="00C349B6" w:rsidRPr="00A03679" w:rsidRDefault="00C349B6" w:rsidP="00F408E1">
      <w:pPr>
        <w:pStyle w:val="NoParagraphStyle"/>
        <w:spacing w:line="240" w:lineRule="auto"/>
        <w:contextualSpacing/>
        <w:jc w:val="center"/>
        <w:rPr>
          <w:rFonts w:ascii="Brandon Grotesque Regular" w:hAnsi="Brandon Grotesque Regular" w:cstheme="minorHAnsi"/>
          <w:color w:val="000000" w:themeColor="text1"/>
          <w:sz w:val="20"/>
          <w:szCs w:val="20"/>
          <w:highlight w:val="yellow"/>
        </w:rPr>
      </w:pPr>
    </w:p>
    <w:p w14:paraId="666965AF" w14:textId="5DF44C4F" w:rsidR="00160D35" w:rsidRPr="00996624" w:rsidRDefault="00160D35"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I have covered most of the key movements already in the P&amp;L so to summarise the movement versus </w:t>
      </w:r>
      <w:r w:rsidR="00267917">
        <w:rPr>
          <w:rFonts w:ascii="Brandon Grotesque Regular" w:eastAsiaTheme="minorEastAsia" w:hAnsi="Brandon Grotesque Regular" w:cstheme="minorHAnsi"/>
          <w:color w:val="000000" w:themeColor="text1"/>
          <w:sz w:val="22"/>
          <w:szCs w:val="22"/>
          <w:lang w:val="en-GB" w:bidi="ar-SA"/>
        </w:rPr>
        <w:t>PCP:</w:t>
      </w:r>
    </w:p>
    <w:p w14:paraId="746ECF80" w14:textId="77777777" w:rsidR="00160D35" w:rsidRPr="00996624" w:rsidRDefault="00160D35" w:rsidP="00F408E1">
      <w:pPr>
        <w:spacing w:after="0" w:line="240" w:lineRule="auto"/>
        <w:ind w:left="360"/>
        <w:rPr>
          <w:rFonts w:ascii="Brandon Grotesque Regular" w:eastAsiaTheme="minorEastAsia" w:hAnsi="Brandon Grotesque Regular" w:cstheme="minorHAnsi"/>
          <w:color w:val="000000" w:themeColor="text1"/>
          <w:sz w:val="22"/>
          <w:szCs w:val="22"/>
          <w:lang w:val="en-GB" w:bidi="ar-SA"/>
        </w:rPr>
      </w:pPr>
    </w:p>
    <w:p w14:paraId="17296CF0" w14:textId="326D8C31" w:rsidR="00160D35" w:rsidRPr="00B979DE" w:rsidRDefault="00160D35" w:rsidP="00F408E1">
      <w:pPr>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Total Operating Income at $185.0 million was marginally </w:t>
      </w:r>
      <w:r w:rsidR="009F12BA" w:rsidRPr="00B979DE">
        <w:rPr>
          <w:rFonts w:ascii="Brandon Grotesque Regular" w:eastAsiaTheme="minorEastAsia" w:hAnsi="Brandon Grotesque Regular" w:cstheme="minorHAnsi"/>
          <w:color w:val="000000" w:themeColor="text1"/>
          <w:sz w:val="22"/>
          <w:szCs w:val="22"/>
          <w:lang w:val="en-GB" w:bidi="ar-SA"/>
        </w:rPr>
        <w:t>down</w:t>
      </w:r>
      <w:r w:rsidRPr="00B979DE">
        <w:rPr>
          <w:rFonts w:ascii="Brandon Grotesque Regular" w:eastAsiaTheme="minorEastAsia" w:hAnsi="Brandon Grotesque Regular" w:cstheme="minorHAnsi"/>
          <w:color w:val="000000" w:themeColor="text1"/>
          <w:sz w:val="22"/>
          <w:szCs w:val="22"/>
          <w:lang w:val="en-GB" w:bidi="ar-SA"/>
        </w:rPr>
        <w:t xml:space="preserve"> (</w:t>
      </w:r>
      <w:proofErr w:type="gramStart"/>
      <w:r w:rsidRPr="00B979DE">
        <w:rPr>
          <w:rFonts w:ascii="Brandon Grotesque Regular" w:eastAsiaTheme="minorEastAsia" w:hAnsi="Brandon Grotesque Regular" w:cstheme="minorHAnsi"/>
          <w:color w:val="000000" w:themeColor="text1"/>
          <w:sz w:val="22"/>
          <w:szCs w:val="22"/>
          <w:lang w:val="en-GB" w:bidi="ar-SA"/>
        </w:rPr>
        <w:t>1)%</w:t>
      </w:r>
      <w:proofErr w:type="gramEnd"/>
      <w:r w:rsidRPr="00B979DE">
        <w:rPr>
          <w:rFonts w:ascii="Brandon Grotesque Regular" w:eastAsiaTheme="minorEastAsia" w:hAnsi="Brandon Grotesque Regular" w:cstheme="minorHAnsi"/>
          <w:color w:val="000000" w:themeColor="text1"/>
          <w:sz w:val="22"/>
          <w:szCs w:val="22"/>
          <w:lang w:val="en-GB" w:bidi="ar-SA"/>
        </w:rPr>
        <w:t xml:space="preserve"> </w:t>
      </w:r>
      <w:r w:rsidR="009F12BA" w:rsidRPr="00B979DE">
        <w:rPr>
          <w:rFonts w:ascii="Brandon Grotesque Regular" w:eastAsiaTheme="minorEastAsia" w:hAnsi="Brandon Grotesque Regular" w:cstheme="minorHAnsi"/>
          <w:color w:val="000000" w:themeColor="text1"/>
          <w:sz w:val="22"/>
          <w:szCs w:val="22"/>
          <w:lang w:val="en-GB" w:bidi="ar-SA"/>
        </w:rPr>
        <w:t xml:space="preserve">on </w:t>
      </w:r>
      <w:r w:rsidRPr="00B979DE">
        <w:rPr>
          <w:rFonts w:ascii="Brandon Grotesque Regular" w:eastAsiaTheme="minorEastAsia" w:hAnsi="Brandon Grotesque Regular" w:cstheme="minorHAnsi"/>
          <w:color w:val="000000" w:themeColor="text1"/>
          <w:sz w:val="22"/>
          <w:szCs w:val="22"/>
          <w:lang w:val="en-GB" w:bidi="ar-SA"/>
        </w:rPr>
        <w:t xml:space="preserve">PCP.  </w:t>
      </w:r>
    </w:p>
    <w:p w14:paraId="3AEFBC34" w14:textId="555493EF" w:rsidR="00160D35" w:rsidRPr="00B979DE" w:rsidRDefault="00160D35" w:rsidP="00F408E1">
      <w:pPr>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Net Interest Income declined (</w:t>
      </w:r>
      <w:proofErr w:type="gramStart"/>
      <w:r w:rsidRPr="00B979DE">
        <w:rPr>
          <w:rFonts w:ascii="Brandon Grotesque Regular" w:eastAsiaTheme="minorEastAsia" w:hAnsi="Brandon Grotesque Regular" w:cstheme="minorHAnsi"/>
          <w:color w:val="000000" w:themeColor="text1"/>
          <w:sz w:val="22"/>
          <w:szCs w:val="22"/>
          <w:lang w:val="en-GB" w:bidi="ar-SA"/>
        </w:rPr>
        <w:t>8)%</w:t>
      </w:r>
      <w:proofErr w:type="gramEnd"/>
      <w:r w:rsidRPr="00B979DE">
        <w:rPr>
          <w:rFonts w:ascii="Brandon Grotesque Regular" w:eastAsiaTheme="minorEastAsia" w:hAnsi="Brandon Grotesque Regular" w:cstheme="minorHAnsi"/>
          <w:color w:val="000000" w:themeColor="text1"/>
          <w:sz w:val="22"/>
          <w:szCs w:val="22"/>
          <w:lang w:val="en-GB" w:bidi="ar-SA"/>
        </w:rPr>
        <w:t xml:space="preserve"> on PCP.  This was driven in part by mix – as </w:t>
      </w:r>
      <w:r w:rsidR="00E62C71" w:rsidRPr="00B979DE">
        <w:rPr>
          <w:rFonts w:ascii="Brandon Grotesque Regular" w:eastAsiaTheme="minorEastAsia" w:hAnsi="Brandon Grotesque Regular" w:cstheme="minorHAnsi"/>
          <w:color w:val="000000" w:themeColor="text1"/>
          <w:sz w:val="22"/>
          <w:szCs w:val="22"/>
          <w:lang w:val="en-GB" w:bidi="ar-SA"/>
        </w:rPr>
        <w:t xml:space="preserve">Mortgage </w:t>
      </w:r>
      <w:r w:rsidRPr="00B979DE">
        <w:rPr>
          <w:rFonts w:ascii="Brandon Grotesque Regular" w:eastAsiaTheme="minorEastAsia" w:hAnsi="Brandon Grotesque Regular" w:cstheme="minorHAnsi"/>
          <w:color w:val="000000" w:themeColor="text1"/>
          <w:sz w:val="22"/>
          <w:szCs w:val="22"/>
          <w:lang w:val="en-GB" w:bidi="ar-SA"/>
        </w:rPr>
        <w:t xml:space="preserve">Originations and AUM shifted to Prime, and in part </w:t>
      </w:r>
      <w:proofErr w:type="gramStart"/>
      <w:r w:rsidRPr="00B979DE">
        <w:rPr>
          <w:rFonts w:ascii="Brandon Grotesque Regular" w:eastAsiaTheme="minorEastAsia" w:hAnsi="Brandon Grotesque Regular" w:cstheme="minorHAnsi"/>
          <w:color w:val="000000" w:themeColor="text1"/>
          <w:sz w:val="22"/>
          <w:szCs w:val="22"/>
          <w:lang w:val="en-GB" w:bidi="ar-SA"/>
        </w:rPr>
        <w:t>as a result o</w:t>
      </w:r>
      <w:r w:rsidR="00C23E3F" w:rsidRPr="00B979DE">
        <w:rPr>
          <w:rFonts w:ascii="Brandon Grotesque Regular" w:eastAsiaTheme="minorEastAsia" w:hAnsi="Brandon Grotesque Regular" w:cstheme="minorHAnsi"/>
          <w:color w:val="000000" w:themeColor="text1"/>
          <w:sz w:val="22"/>
          <w:szCs w:val="22"/>
          <w:lang w:val="en-GB" w:bidi="ar-SA"/>
        </w:rPr>
        <w:t>f</w:t>
      </w:r>
      <w:proofErr w:type="gramEnd"/>
      <w:r w:rsidR="00C23E3F" w:rsidRPr="00B979DE">
        <w:rPr>
          <w:rFonts w:ascii="Brandon Grotesque Regular" w:eastAsiaTheme="minorEastAsia" w:hAnsi="Brandon Grotesque Regular" w:cstheme="minorHAnsi"/>
          <w:color w:val="000000" w:themeColor="text1"/>
          <w:sz w:val="22"/>
          <w:szCs w:val="22"/>
          <w:lang w:val="en-GB" w:bidi="ar-SA"/>
        </w:rPr>
        <w:t xml:space="preserve"> the</w:t>
      </w:r>
      <w:r w:rsidRPr="00B979DE">
        <w:rPr>
          <w:rFonts w:ascii="Brandon Grotesque Regular" w:eastAsiaTheme="minorEastAsia" w:hAnsi="Brandon Grotesque Regular" w:cstheme="minorHAnsi"/>
          <w:color w:val="000000" w:themeColor="text1"/>
          <w:sz w:val="22"/>
          <w:szCs w:val="22"/>
          <w:lang w:val="en-GB" w:bidi="ar-SA"/>
        </w:rPr>
        <w:t xml:space="preserve"> Whole Loan Sales executed, </w:t>
      </w:r>
      <w:r w:rsidR="002048C0" w:rsidRPr="00B979DE">
        <w:rPr>
          <w:rFonts w:ascii="Brandon Grotesque Regular" w:eastAsiaTheme="minorEastAsia" w:hAnsi="Brandon Grotesque Regular" w:cstheme="minorHAnsi"/>
          <w:color w:val="000000" w:themeColor="text1"/>
          <w:sz w:val="22"/>
          <w:szCs w:val="22"/>
          <w:lang w:val="en-GB" w:bidi="ar-SA"/>
        </w:rPr>
        <w:t xml:space="preserve">where </w:t>
      </w:r>
      <w:r w:rsidRPr="00B979DE">
        <w:rPr>
          <w:rFonts w:ascii="Brandon Grotesque Regular" w:eastAsiaTheme="minorEastAsia" w:hAnsi="Brandon Grotesque Regular" w:cstheme="minorHAnsi"/>
          <w:color w:val="000000" w:themeColor="text1"/>
          <w:sz w:val="22"/>
          <w:szCs w:val="22"/>
          <w:lang w:val="en-GB" w:bidi="ar-SA"/>
        </w:rPr>
        <w:t xml:space="preserve">income </w:t>
      </w:r>
      <w:r w:rsidR="002048C0" w:rsidRPr="00B979DE">
        <w:rPr>
          <w:rFonts w:ascii="Brandon Grotesque Regular" w:eastAsiaTheme="minorEastAsia" w:hAnsi="Brandon Grotesque Regular" w:cstheme="minorHAnsi"/>
          <w:color w:val="000000" w:themeColor="text1"/>
          <w:sz w:val="22"/>
          <w:szCs w:val="22"/>
          <w:lang w:val="en-GB" w:bidi="ar-SA"/>
        </w:rPr>
        <w:t>shifts from</w:t>
      </w:r>
      <w:r w:rsidRPr="00B979DE">
        <w:rPr>
          <w:rFonts w:ascii="Brandon Grotesque Regular" w:eastAsiaTheme="minorEastAsia" w:hAnsi="Brandon Grotesque Regular" w:cstheme="minorHAnsi"/>
          <w:color w:val="000000" w:themeColor="text1"/>
          <w:sz w:val="22"/>
          <w:szCs w:val="22"/>
          <w:lang w:val="en-GB" w:bidi="ar-SA"/>
        </w:rPr>
        <w:t xml:space="preserve"> Net Interest </w:t>
      </w:r>
      <w:r w:rsidR="002048C0" w:rsidRPr="00B979DE">
        <w:rPr>
          <w:rFonts w:ascii="Brandon Grotesque Regular" w:eastAsiaTheme="minorEastAsia" w:hAnsi="Brandon Grotesque Regular" w:cstheme="minorHAnsi"/>
          <w:color w:val="000000" w:themeColor="text1"/>
          <w:sz w:val="22"/>
          <w:szCs w:val="22"/>
          <w:lang w:val="en-GB" w:bidi="ar-SA"/>
        </w:rPr>
        <w:t xml:space="preserve">Income </w:t>
      </w:r>
      <w:r w:rsidRPr="00B979DE">
        <w:rPr>
          <w:rFonts w:ascii="Brandon Grotesque Regular" w:eastAsiaTheme="minorEastAsia" w:hAnsi="Brandon Grotesque Regular" w:cstheme="minorHAnsi"/>
          <w:color w:val="000000" w:themeColor="text1"/>
          <w:sz w:val="22"/>
          <w:szCs w:val="22"/>
          <w:lang w:val="en-GB" w:bidi="ar-SA"/>
        </w:rPr>
        <w:t>to Other Operating Income</w:t>
      </w:r>
      <w:r w:rsidR="00D03BD9" w:rsidRPr="00B979DE">
        <w:rPr>
          <w:rFonts w:ascii="Brandon Grotesque Regular" w:eastAsiaTheme="minorEastAsia" w:hAnsi="Brandon Grotesque Regular" w:cstheme="minorHAnsi"/>
          <w:color w:val="000000" w:themeColor="text1"/>
          <w:sz w:val="22"/>
          <w:szCs w:val="22"/>
          <w:lang w:val="en-GB" w:bidi="ar-SA"/>
        </w:rPr>
        <w:t>.</w:t>
      </w:r>
    </w:p>
    <w:p w14:paraId="62404304" w14:textId="1A13A5D7" w:rsidR="00160D35" w:rsidRPr="00B979DE" w:rsidRDefault="00160D35" w:rsidP="00F408E1">
      <w:pPr>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Whole Loan Sale gain increased on PCP, as we executed $1.7 billion in </w:t>
      </w:r>
      <w:r w:rsidR="00E62C71" w:rsidRPr="00B979DE">
        <w:rPr>
          <w:rFonts w:ascii="Brandon Grotesque Regular" w:eastAsiaTheme="minorEastAsia" w:hAnsi="Brandon Grotesque Regular" w:cstheme="minorHAnsi"/>
          <w:color w:val="000000" w:themeColor="text1"/>
          <w:sz w:val="22"/>
          <w:szCs w:val="22"/>
          <w:lang w:val="en-GB" w:bidi="ar-SA"/>
        </w:rPr>
        <w:t>Mortgage W</w:t>
      </w:r>
      <w:r w:rsidRPr="00B979DE">
        <w:rPr>
          <w:rFonts w:ascii="Brandon Grotesque Regular" w:eastAsiaTheme="minorEastAsia" w:hAnsi="Brandon Grotesque Regular" w:cstheme="minorHAnsi"/>
          <w:color w:val="000000" w:themeColor="text1"/>
          <w:sz w:val="22"/>
          <w:szCs w:val="22"/>
          <w:lang w:val="en-GB" w:bidi="ar-SA"/>
        </w:rPr>
        <w:t xml:space="preserve">hole </w:t>
      </w:r>
      <w:r w:rsidR="00E62C71" w:rsidRPr="00B979DE">
        <w:rPr>
          <w:rFonts w:ascii="Brandon Grotesque Regular" w:eastAsiaTheme="minorEastAsia" w:hAnsi="Brandon Grotesque Regular" w:cstheme="minorHAnsi"/>
          <w:color w:val="000000" w:themeColor="text1"/>
          <w:sz w:val="22"/>
          <w:szCs w:val="22"/>
          <w:lang w:val="en-GB" w:bidi="ar-SA"/>
        </w:rPr>
        <w:t>L</w:t>
      </w:r>
      <w:r w:rsidRPr="00B979DE">
        <w:rPr>
          <w:rFonts w:ascii="Brandon Grotesque Regular" w:eastAsiaTheme="minorEastAsia" w:hAnsi="Brandon Grotesque Regular" w:cstheme="minorHAnsi"/>
          <w:color w:val="000000" w:themeColor="text1"/>
          <w:sz w:val="22"/>
          <w:szCs w:val="22"/>
          <w:lang w:val="en-GB" w:bidi="ar-SA"/>
        </w:rPr>
        <w:t xml:space="preserve">oans </w:t>
      </w:r>
      <w:r w:rsidR="00E62C71" w:rsidRPr="00B979DE">
        <w:rPr>
          <w:rFonts w:ascii="Brandon Grotesque Regular" w:eastAsiaTheme="minorEastAsia" w:hAnsi="Brandon Grotesque Regular" w:cstheme="minorHAnsi"/>
          <w:color w:val="000000" w:themeColor="text1"/>
          <w:sz w:val="22"/>
          <w:szCs w:val="22"/>
          <w:lang w:val="en-GB" w:bidi="ar-SA"/>
        </w:rPr>
        <w:t>S</w:t>
      </w:r>
      <w:r w:rsidRPr="00B979DE">
        <w:rPr>
          <w:rFonts w:ascii="Brandon Grotesque Regular" w:eastAsiaTheme="minorEastAsia" w:hAnsi="Brandon Grotesque Regular" w:cstheme="minorHAnsi"/>
          <w:color w:val="000000" w:themeColor="text1"/>
          <w:sz w:val="22"/>
          <w:szCs w:val="22"/>
          <w:lang w:val="en-GB" w:bidi="ar-SA"/>
        </w:rPr>
        <w:t xml:space="preserve">ales over the first half of 2025 up from $1.1 billion for the </w:t>
      </w:r>
      <w:r w:rsidR="00D03BD9" w:rsidRPr="00B979DE">
        <w:rPr>
          <w:rFonts w:ascii="Brandon Grotesque Regular" w:eastAsiaTheme="minorEastAsia" w:hAnsi="Brandon Grotesque Regular" w:cstheme="minorHAnsi"/>
          <w:color w:val="000000" w:themeColor="text1"/>
          <w:sz w:val="22"/>
          <w:szCs w:val="22"/>
          <w:lang w:val="en-GB" w:bidi="ar-SA"/>
        </w:rPr>
        <w:t>first half of</w:t>
      </w:r>
      <w:r w:rsidRPr="00B979DE">
        <w:rPr>
          <w:rFonts w:ascii="Brandon Grotesque Regular" w:eastAsiaTheme="minorEastAsia" w:hAnsi="Brandon Grotesque Regular" w:cstheme="minorHAnsi"/>
          <w:color w:val="000000" w:themeColor="text1"/>
          <w:sz w:val="22"/>
          <w:szCs w:val="22"/>
          <w:lang w:val="en-GB" w:bidi="ar-SA"/>
        </w:rPr>
        <w:t xml:space="preserve"> 2024.   </w:t>
      </w:r>
    </w:p>
    <w:p w14:paraId="694BFF6B" w14:textId="4E29120F" w:rsidR="00160D35" w:rsidRPr="00B979DE" w:rsidRDefault="00160D35" w:rsidP="00F408E1">
      <w:pPr>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Loan loss expense decreased by </w:t>
      </w:r>
      <w:r w:rsidR="00CB4F14" w:rsidRPr="00B979DE">
        <w:rPr>
          <w:rFonts w:ascii="Brandon Grotesque Regular" w:eastAsiaTheme="minorEastAsia" w:hAnsi="Brandon Grotesque Regular" w:cstheme="minorHAnsi"/>
          <w:color w:val="000000" w:themeColor="text1"/>
          <w:sz w:val="22"/>
          <w:szCs w:val="22"/>
          <w:lang w:val="en-GB" w:bidi="ar-SA"/>
        </w:rPr>
        <w:t>$0.7 million which I have already covered</w:t>
      </w:r>
      <w:r w:rsidR="00CF6097" w:rsidRPr="00B979DE">
        <w:rPr>
          <w:rFonts w:ascii="Brandon Grotesque Regular" w:eastAsiaTheme="minorEastAsia" w:hAnsi="Brandon Grotesque Regular" w:cstheme="minorHAnsi"/>
          <w:color w:val="000000" w:themeColor="text1"/>
          <w:sz w:val="22"/>
          <w:szCs w:val="22"/>
          <w:lang w:val="en-GB" w:bidi="ar-SA"/>
        </w:rPr>
        <w:t xml:space="preserve"> and our</w:t>
      </w:r>
      <w:r w:rsidR="00B979DE">
        <w:rPr>
          <w:rFonts w:ascii="Brandon Grotesque Regular" w:eastAsiaTheme="minorEastAsia" w:hAnsi="Brandon Grotesque Regular" w:cstheme="minorHAnsi"/>
          <w:color w:val="000000" w:themeColor="text1"/>
          <w:sz w:val="22"/>
          <w:szCs w:val="22"/>
          <w:lang w:val="en-GB" w:bidi="ar-SA"/>
        </w:rPr>
        <w:t xml:space="preserve"> s</w:t>
      </w:r>
      <w:r w:rsidRPr="00B979DE">
        <w:rPr>
          <w:rFonts w:ascii="Brandon Grotesque Regular" w:eastAsiaTheme="minorEastAsia" w:hAnsi="Brandon Grotesque Regular" w:cstheme="minorHAnsi"/>
          <w:color w:val="000000" w:themeColor="text1"/>
          <w:sz w:val="22"/>
          <w:szCs w:val="22"/>
          <w:lang w:val="en-GB" w:bidi="ar-SA"/>
        </w:rPr>
        <w:t xml:space="preserve">trong cost management, and efficiency gains </w:t>
      </w:r>
      <w:r w:rsidR="00CB4F14" w:rsidRPr="00B979DE">
        <w:rPr>
          <w:rFonts w:ascii="Brandon Grotesque Regular" w:eastAsiaTheme="minorEastAsia" w:hAnsi="Brandon Grotesque Regular" w:cstheme="minorHAnsi"/>
          <w:color w:val="000000" w:themeColor="text1"/>
          <w:sz w:val="22"/>
          <w:szCs w:val="22"/>
          <w:lang w:val="en-GB" w:bidi="ar-SA"/>
        </w:rPr>
        <w:t xml:space="preserve">more than </w:t>
      </w:r>
      <w:r w:rsidRPr="00B979DE">
        <w:rPr>
          <w:rFonts w:ascii="Brandon Grotesque Regular" w:eastAsiaTheme="minorEastAsia" w:hAnsi="Brandon Grotesque Regular" w:cstheme="minorHAnsi"/>
          <w:color w:val="000000" w:themeColor="text1"/>
          <w:sz w:val="22"/>
          <w:szCs w:val="22"/>
          <w:lang w:val="en-GB" w:bidi="ar-SA"/>
        </w:rPr>
        <w:t xml:space="preserve">offset </w:t>
      </w:r>
      <w:r w:rsidR="00CB4F14" w:rsidRPr="00B979DE">
        <w:rPr>
          <w:rFonts w:ascii="Brandon Grotesque Regular" w:eastAsiaTheme="minorEastAsia" w:hAnsi="Brandon Grotesque Regular" w:cstheme="minorHAnsi"/>
          <w:color w:val="000000" w:themeColor="text1"/>
          <w:sz w:val="22"/>
          <w:szCs w:val="22"/>
          <w:lang w:val="en-GB" w:bidi="ar-SA"/>
        </w:rPr>
        <w:t xml:space="preserve">the increase </w:t>
      </w:r>
      <w:r w:rsidRPr="00B979DE">
        <w:rPr>
          <w:rFonts w:ascii="Brandon Grotesque Regular" w:eastAsiaTheme="minorEastAsia" w:hAnsi="Brandon Grotesque Regular" w:cstheme="minorHAnsi"/>
          <w:color w:val="000000" w:themeColor="text1"/>
          <w:sz w:val="22"/>
          <w:szCs w:val="22"/>
          <w:lang w:val="en-GB" w:bidi="ar-SA"/>
        </w:rPr>
        <w:t>in impairments</w:t>
      </w:r>
      <w:r w:rsidR="00CB4F14" w:rsidRPr="00B979DE">
        <w:rPr>
          <w:rFonts w:ascii="Brandon Grotesque Regular" w:eastAsiaTheme="minorEastAsia" w:hAnsi="Brandon Grotesque Regular" w:cstheme="minorHAnsi"/>
          <w:color w:val="000000" w:themeColor="text1"/>
          <w:sz w:val="22"/>
          <w:szCs w:val="22"/>
          <w:lang w:val="en-GB" w:bidi="ar-SA"/>
        </w:rPr>
        <w:t>, and Total Expense</w:t>
      </w:r>
      <w:r w:rsidR="00FC635F" w:rsidRPr="00B979DE">
        <w:rPr>
          <w:rFonts w:ascii="Brandon Grotesque Regular" w:eastAsiaTheme="minorEastAsia" w:hAnsi="Brandon Grotesque Regular" w:cstheme="minorHAnsi"/>
          <w:color w:val="000000" w:themeColor="text1"/>
          <w:sz w:val="22"/>
          <w:szCs w:val="22"/>
          <w:lang w:val="en-GB" w:bidi="ar-SA"/>
        </w:rPr>
        <w:t>s</w:t>
      </w:r>
      <w:r w:rsidR="00CB4F14" w:rsidRPr="00B979DE">
        <w:rPr>
          <w:rFonts w:ascii="Brandon Grotesque Regular" w:eastAsiaTheme="minorEastAsia" w:hAnsi="Brandon Grotesque Regular" w:cstheme="minorHAnsi"/>
          <w:color w:val="000000" w:themeColor="text1"/>
          <w:sz w:val="22"/>
          <w:szCs w:val="22"/>
          <w:lang w:val="en-GB" w:bidi="ar-SA"/>
        </w:rPr>
        <w:t xml:space="preserve"> reduced 2% on PCP.</w:t>
      </w:r>
    </w:p>
    <w:p w14:paraId="22FE07CB" w14:textId="77777777" w:rsidR="00E62C71" w:rsidRPr="00B979DE" w:rsidRDefault="00160D35"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B979DE">
        <w:rPr>
          <w:rFonts w:ascii="Brandon Grotesque Regular" w:eastAsiaTheme="minorEastAsia" w:hAnsi="Brandon Grotesque Regular" w:cstheme="minorHAnsi"/>
          <w:color w:val="000000" w:themeColor="text1"/>
          <w:sz w:val="22"/>
          <w:szCs w:val="22"/>
          <w:lang w:val="en-GB" w:bidi="ar-SA"/>
        </w:rPr>
        <w:t xml:space="preserve">These factors </w:t>
      </w:r>
      <w:r w:rsidR="00E62C71" w:rsidRPr="00B979DE">
        <w:rPr>
          <w:rFonts w:ascii="Brandon Grotesque Regular" w:eastAsiaTheme="minorEastAsia" w:hAnsi="Brandon Grotesque Regular" w:cstheme="minorHAnsi"/>
          <w:color w:val="000000" w:themeColor="text1"/>
          <w:sz w:val="22"/>
          <w:szCs w:val="22"/>
          <w:lang w:val="en-GB" w:bidi="ar-SA"/>
        </w:rPr>
        <w:t>delivered</w:t>
      </w:r>
      <w:r w:rsidR="002D173B" w:rsidRPr="00B979DE">
        <w:rPr>
          <w:rFonts w:ascii="Brandon Grotesque Regular" w:eastAsiaTheme="minorEastAsia" w:hAnsi="Brandon Grotesque Regular" w:cstheme="minorHAnsi"/>
          <w:color w:val="000000" w:themeColor="text1"/>
          <w:sz w:val="22"/>
          <w:szCs w:val="22"/>
          <w:lang w:val="en-GB" w:bidi="ar-SA"/>
        </w:rPr>
        <w:t xml:space="preserve"> </w:t>
      </w:r>
      <w:r w:rsidRPr="00B979DE">
        <w:rPr>
          <w:rFonts w:ascii="Brandon Grotesque Regular" w:eastAsiaTheme="minorEastAsia" w:hAnsi="Brandon Grotesque Regular" w:cstheme="minorHAnsi"/>
          <w:color w:val="000000" w:themeColor="text1"/>
          <w:sz w:val="22"/>
          <w:szCs w:val="22"/>
          <w:lang w:val="en-GB" w:bidi="ar-SA"/>
        </w:rPr>
        <w:t xml:space="preserve">EBITDA </w:t>
      </w:r>
      <w:r w:rsidR="00CB4F14" w:rsidRPr="00B979DE">
        <w:rPr>
          <w:rFonts w:ascii="Brandon Grotesque Regular" w:eastAsiaTheme="minorEastAsia" w:hAnsi="Brandon Grotesque Regular" w:cstheme="minorHAnsi"/>
          <w:color w:val="000000" w:themeColor="text1"/>
          <w:sz w:val="22"/>
          <w:szCs w:val="22"/>
          <w:lang w:val="en-GB" w:bidi="ar-SA"/>
        </w:rPr>
        <w:t>of $89.5 million</w:t>
      </w:r>
      <w:r w:rsidR="00E62C71" w:rsidRPr="00B979DE">
        <w:rPr>
          <w:rFonts w:ascii="Brandon Grotesque Regular" w:eastAsiaTheme="minorEastAsia" w:hAnsi="Brandon Grotesque Regular" w:cstheme="minorHAnsi"/>
          <w:color w:val="000000" w:themeColor="text1"/>
          <w:sz w:val="22"/>
          <w:szCs w:val="22"/>
          <w:lang w:val="en-GB" w:bidi="ar-SA"/>
        </w:rPr>
        <w:t>.</w:t>
      </w:r>
    </w:p>
    <w:p w14:paraId="228A09BF" w14:textId="77777777" w:rsidR="00E62C71" w:rsidRPr="00B979DE" w:rsidRDefault="00E62C71"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2107695" w14:textId="41C1F807" w:rsidR="00CB4F14" w:rsidRPr="00996624" w:rsidRDefault="00E62C71" w:rsidP="00F408E1">
      <w:pPr>
        <w:spacing w:after="0" w:line="240" w:lineRule="auto"/>
        <w:rPr>
          <w:rFonts w:ascii="Brandon Grotesque Regular" w:hAnsi="Brandon Grotesque Regular" w:cstheme="minorHAnsi"/>
          <w:color w:val="000000"/>
          <w:sz w:val="22"/>
          <w:szCs w:val="22"/>
          <w:lang w:val="en-GB"/>
        </w:rPr>
      </w:pPr>
      <w:r w:rsidRPr="00B979DE">
        <w:rPr>
          <w:rFonts w:ascii="Brandon Grotesque Regular" w:eastAsiaTheme="minorEastAsia" w:hAnsi="Brandon Grotesque Regular" w:cstheme="minorHAnsi"/>
          <w:color w:val="000000" w:themeColor="text1"/>
          <w:sz w:val="22"/>
          <w:szCs w:val="22"/>
          <w:lang w:val="en-GB" w:bidi="ar-SA"/>
        </w:rPr>
        <w:t>Our</w:t>
      </w:r>
      <w:r w:rsidR="00160D35" w:rsidRPr="00B979DE">
        <w:rPr>
          <w:rFonts w:ascii="Brandon Grotesque Regular" w:eastAsiaTheme="minorEastAsia" w:hAnsi="Brandon Grotesque Regular" w:cstheme="minorHAnsi"/>
          <w:color w:val="000000" w:themeColor="text1"/>
          <w:sz w:val="22"/>
          <w:szCs w:val="22"/>
          <w:lang w:val="en-GB" w:bidi="ar-SA"/>
        </w:rPr>
        <w:t xml:space="preserve"> Net Profit After Tax, on both a Statutory and Pro forma basis, </w:t>
      </w:r>
      <w:r w:rsidR="00CB4F14" w:rsidRPr="00B979DE">
        <w:rPr>
          <w:rFonts w:ascii="Brandon Grotesque Regular" w:eastAsiaTheme="minorEastAsia" w:hAnsi="Brandon Grotesque Regular" w:cstheme="minorHAnsi"/>
          <w:color w:val="000000" w:themeColor="text1"/>
          <w:sz w:val="22"/>
          <w:szCs w:val="22"/>
          <w:lang w:val="en-GB" w:bidi="ar-SA"/>
        </w:rPr>
        <w:t>at</w:t>
      </w:r>
      <w:r w:rsidR="00160D35" w:rsidRPr="00B979DE">
        <w:rPr>
          <w:rFonts w:ascii="Brandon Grotesque Regular" w:eastAsiaTheme="minorEastAsia" w:hAnsi="Brandon Grotesque Regular" w:cstheme="minorHAnsi"/>
          <w:color w:val="000000" w:themeColor="text1"/>
          <w:sz w:val="22"/>
          <w:szCs w:val="22"/>
          <w:lang w:val="en-GB" w:bidi="ar-SA"/>
        </w:rPr>
        <w:t xml:space="preserve"> $</w:t>
      </w:r>
      <w:r w:rsidR="00CB4F14" w:rsidRPr="00B979DE">
        <w:rPr>
          <w:rFonts w:ascii="Brandon Grotesque Regular" w:eastAsiaTheme="minorEastAsia" w:hAnsi="Brandon Grotesque Regular" w:cstheme="minorHAnsi"/>
          <w:color w:val="000000" w:themeColor="text1"/>
          <w:sz w:val="22"/>
          <w:szCs w:val="22"/>
          <w:lang w:val="en-GB" w:bidi="ar-SA"/>
        </w:rPr>
        <w:t>47.0</w:t>
      </w:r>
      <w:r w:rsidR="00160D35" w:rsidRPr="00B979DE">
        <w:rPr>
          <w:rFonts w:ascii="Brandon Grotesque Regular" w:eastAsiaTheme="minorEastAsia" w:hAnsi="Brandon Grotesque Regular" w:cstheme="minorHAnsi"/>
          <w:color w:val="000000" w:themeColor="text1"/>
          <w:sz w:val="22"/>
          <w:szCs w:val="22"/>
          <w:lang w:val="en-GB" w:bidi="ar-SA"/>
        </w:rPr>
        <w:t xml:space="preserve"> million for the</w:t>
      </w:r>
      <w:r w:rsidR="00CB4F14" w:rsidRPr="00B979DE">
        <w:rPr>
          <w:rFonts w:ascii="Brandon Grotesque Regular" w:eastAsiaTheme="minorEastAsia" w:hAnsi="Brandon Grotesque Regular" w:cstheme="minorHAnsi"/>
          <w:color w:val="000000" w:themeColor="text1"/>
          <w:sz w:val="22"/>
          <w:szCs w:val="22"/>
          <w:lang w:val="en-GB" w:bidi="ar-SA"/>
        </w:rPr>
        <w:t xml:space="preserve"> half</w:t>
      </w:r>
      <w:r w:rsidR="00160D35" w:rsidRPr="00B979DE">
        <w:rPr>
          <w:rFonts w:ascii="Brandon Grotesque Regular" w:eastAsiaTheme="minorEastAsia" w:hAnsi="Brandon Grotesque Regular" w:cstheme="minorHAnsi"/>
          <w:color w:val="000000" w:themeColor="text1"/>
          <w:sz w:val="22"/>
          <w:szCs w:val="22"/>
          <w:lang w:val="en-GB" w:bidi="ar-SA"/>
        </w:rPr>
        <w:t xml:space="preserve"> year</w:t>
      </w:r>
      <w:r w:rsidR="00CB4F14" w:rsidRPr="00B979DE">
        <w:rPr>
          <w:rFonts w:ascii="Brandon Grotesque Regular" w:eastAsiaTheme="minorEastAsia" w:hAnsi="Brandon Grotesque Regular" w:cstheme="minorHAnsi"/>
          <w:color w:val="000000" w:themeColor="text1"/>
          <w:sz w:val="22"/>
          <w:szCs w:val="22"/>
          <w:lang w:val="en-GB" w:bidi="ar-SA"/>
        </w:rPr>
        <w:t xml:space="preserve">, </w:t>
      </w:r>
      <w:r w:rsidR="00341383" w:rsidRPr="00B979DE">
        <w:rPr>
          <w:rFonts w:ascii="Brandon Grotesque Regular" w:eastAsiaTheme="minorEastAsia" w:hAnsi="Brandon Grotesque Regular" w:cstheme="minorHAnsi"/>
          <w:color w:val="000000" w:themeColor="text1"/>
          <w:sz w:val="22"/>
          <w:szCs w:val="22"/>
          <w:lang w:val="en-GB" w:bidi="ar-SA"/>
        </w:rPr>
        <w:t xml:space="preserve">was </w:t>
      </w:r>
      <w:r w:rsidR="00343CF2" w:rsidRPr="00B979DE">
        <w:rPr>
          <w:rFonts w:ascii="Brandon Grotesque Regular" w:eastAsiaTheme="minorEastAsia" w:hAnsi="Brandon Grotesque Regular" w:cstheme="minorHAnsi"/>
          <w:color w:val="000000" w:themeColor="text1"/>
          <w:sz w:val="22"/>
          <w:szCs w:val="22"/>
          <w:lang w:val="en-GB" w:bidi="ar-SA"/>
        </w:rPr>
        <w:t>up</w:t>
      </w:r>
      <w:r w:rsidR="00CB4F14" w:rsidRPr="00B979DE">
        <w:rPr>
          <w:rFonts w:ascii="Brandon Grotesque Regular" w:eastAsiaTheme="minorEastAsia" w:hAnsi="Brandon Grotesque Regular" w:cstheme="minorHAnsi"/>
          <w:color w:val="000000" w:themeColor="text1"/>
          <w:sz w:val="22"/>
          <w:szCs w:val="22"/>
          <w:lang w:val="en-GB" w:bidi="ar-SA"/>
        </w:rPr>
        <w:t xml:space="preserve"> 2% on PCP, and our underlying profit – measure</w:t>
      </w:r>
      <w:r w:rsidR="00CB4F14" w:rsidRPr="00996624">
        <w:rPr>
          <w:rFonts w:ascii="Brandon Grotesque Regular" w:eastAsiaTheme="minorEastAsia" w:hAnsi="Brandon Grotesque Regular" w:cstheme="minorHAnsi"/>
          <w:color w:val="000000" w:themeColor="text1"/>
          <w:sz w:val="22"/>
          <w:szCs w:val="22"/>
          <w:lang w:val="en-GB" w:bidi="ar-SA"/>
        </w:rPr>
        <w:t xml:space="preserve"> by Profit pre- Tax and Loan </w:t>
      </w:r>
      <w:r w:rsidR="00B979DE">
        <w:rPr>
          <w:rFonts w:ascii="Brandon Grotesque Regular" w:eastAsiaTheme="minorEastAsia" w:hAnsi="Brandon Grotesque Regular" w:cstheme="minorHAnsi"/>
          <w:color w:val="000000" w:themeColor="text1"/>
          <w:sz w:val="22"/>
          <w:szCs w:val="22"/>
          <w:lang w:val="en-GB" w:bidi="ar-SA"/>
        </w:rPr>
        <w:t>L</w:t>
      </w:r>
      <w:r w:rsidR="00CB4F14" w:rsidRPr="00996624">
        <w:rPr>
          <w:rFonts w:ascii="Brandon Grotesque Regular" w:eastAsiaTheme="minorEastAsia" w:hAnsi="Brandon Grotesque Regular" w:cstheme="minorHAnsi"/>
          <w:color w:val="000000" w:themeColor="text1"/>
          <w:sz w:val="22"/>
          <w:szCs w:val="22"/>
          <w:lang w:val="en-GB" w:bidi="ar-SA"/>
        </w:rPr>
        <w:t xml:space="preserve">oss </w:t>
      </w:r>
      <w:r w:rsidR="00B979DE">
        <w:rPr>
          <w:rFonts w:ascii="Brandon Grotesque Regular" w:eastAsiaTheme="minorEastAsia" w:hAnsi="Brandon Grotesque Regular" w:cstheme="minorHAnsi"/>
          <w:color w:val="000000" w:themeColor="text1"/>
          <w:sz w:val="22"/>
          <w:szCs w:val="22"/>
          <w:lang w:val="en-GB" w:bidi="ar-SA"/>
        </w:rPr>
        <w:t>E</w:t>
      </w:r>
      <w:r w:rsidR="00CB4F14" w:rsidRPr="00996624">
        <w:rPr>
          <w:rFonts w:ascii="Brandon Grotesque Regular" w:eastAsiaTheme="minorEastAsia" w:hAnsi="Brandon Grotesque Regular" w:cstheme="minorHAnsi"/>
          <w:color w:val="000000" w:themeColor="text1"/>
          <w:sz w:val="22"/>
          <w:szCs w:val="22"/>
          <w:lang w:val="en-GB" w:bidi="ar-SA"/>
        </w:rPr>
        <w:t xml:space="preserve">xpense – of $109.2 million </w:t>
      </w:r>
      <w:r w:rsidR="00341383">
        <w:rPr>
          <w:rFonts w:ascii="Brandon Grotesque Regular" w:eastAsiaTheme="minorEastAsia" w:hAnsi="Brandon Grotesque Regular" w:cstheme="minorHAnsi"/>
          <w:color w:val="000000" w:themeColor="text1"/>
          <w:sz w:val="22"/>
          <w:szCs w:val="22"/>
          <w:lang w:val="en-GB" w:bidi="ar-SA"/>
        </w:rPr>
        <w:t xml:space="preserve">also improved by </w:t>
      </w:r>
      <w:r w:rsidR="00CB4F14" w:rsidRPr="00996624">
        <w:rPr>
          <w:rFonts w:ascii="Brandon Grotesque Regular" w:eastAsiaTheme="minorEastAsia" w:hAnsi="Brandon Grotesque Regular" w:cstheme="minorHAnsi"/>
          <w:color w:val="000000" w:themeColor="text1"/>
          <w:sz w:val="22"/>
          <w:szCs w:val="22"/>
          <w:lang w:val="en-GB" w:bidi="ar-SA"/>
        </w:rPr>
        <w:t>1 per cent on PCP.</w:t>
      </w:r>
    </w:p>
    <w:p w14:paraId="711BFF08" w14:textId="77777777" w:rsidR="00160D35" w:rsidRPr="00996624" w:rsidRDefault="00160D35" w:rsidP="00F408E1">
      <w:pPr>
        <w:spacing w:after="0" w:line="240" w:lineRule="auto"/>
        <w:jc w:val="both"/>
        <w:rPr>
          <w:rFonts w:ascii="Brandon Grotesque Regular" w:eastAsiaTheme="minorEastAsia" w:hAnsi="Brandon Grotesque Regular" w:cstheme="minorHAnsi"/>
          <w:color w:val="000000" w:themeColor="text1"/>
          <w:sz w:val="22"/>
          <w:szCs w:val="22"/>
          <w:highlight w:val="yellow"/>
          <w:lang w:val="en-GB" w:bidi="ar-SA"/>
        </w:rPr>
      </w:pPr>
    </w:p>
    <w:p w14:paraId="567AB126" w14:textId="61B59DAA" w:rsidR="00CB4F14" w:rsidRDefault="00CB4F14" w:rsidP="00F408E1">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r w:rsidRPr="00996624">
        <w:rPr>
          <w:rFonts w:ascii="Brandon Grotesque Regular" w:eastAsiaTheme="minorEastAsia" w:hAnsi="Brandon Grotesque Regular" w:cstheme="minorHAnsi"/>
          <w:color w:val="000000" w:themeColor="text1"/>
          <w:sz w:val="22"/>
          <w:szCs w:val="22"/>
          <w:lang w:val="en-GB" w:bidi="ar-SA"/>
        </w:rPr>
        <w:t>For completeness I have provided our Core Operating metric</w:t>
      </w:r>
      <w:r w:rsidR="00DE4EDD">
        <w:rPr>
          <w:rFonts w:ascii="Brandon Grotesque Regular" w:eastAsiaTheme="minorEastAsia" w:hAnsi="Brandon Grotesque Regular" w:cstheme="minorHAnsi"/>
          <w:color w:val="000000" w:themeColor="text1"/>
          <w:sz w:val="22"/>
          <w:szCs w:val="22"/>
          <w:lang w:val="en-GB" w:bidi="ar-SA"/>
        </w:rPr>
        <w:t>s</w:t>
      </w:r>
      <w:r w:rsidRPr="00996624">
        <w:rPr>
          <w:rFonts w:ascii="Brandon Grotesque Regular" w:eastAsiaTheme="minorEastAsia" w:hAnsi="Brandon Grotesque Regular" w:cstheme="minorHAnsi"/>
          <w:color w:val="000000" w:themeColor="text1"/>
          <w:sz w:val="22"/>
          <w:szCs w:val="22"/>
          <w:lang w:val="en-GB" w:bidi="ar-SA"/>
        </w:rPr>
        <w:t xml:space="preserve"> on slide 1</w:t>
      </w:r>
      <w:r w:rsidR="00DE4EDD">
        <w:rPr>
          <w:rFonts w:ascii="Brandon Grotesque Regular" w:eastAsiaTheme="minorEastAsia" w:hAnsi="Brandon Grotesque Regular" w:cstheme="minorHAnsi"/>
          <w:color w:val="000000" w:themeColor="text1"/>
          <w:sz w:val="22"/>
          <w:szCs w:val="22"/>
          <w:lang w:val="en-GB" w:bidi="ar-SA"/>
        </w:rPr>
        <w:t>7</w:t>
      </w:r>
      <w:r w:rsidRPr="00996624">
        <w:rPr>
          <w:rFonts w:ascii="Brandon Grotesque Regular" w:eastAsiaTheme="minorEastAsia" w:hAnsi="Brandon Grotesque Regular" w:cstheme="minorHAnsi"/>
          <w:color w:val="000000" w:themeColor="text1"/>
          <w:sz w:val="22"/>
          <w:szCs w:val="22"/>
          <w:lang w:val="en-GB" w:bidi="ar-SA"/>
        </w:rPr>
        <w:t xml:space="preserve">, so before handing back to Mario I would like </w:t>
      </w:r>
      <w:r w:rsidR="00341383">
        <w:rPr>
          <w:rFonts w:ascii="Brandon Grotesque Regular" w:eastAsiaTheme="minorEastAsia" w:hAnsi="Brandon Grotesque Regular" w:cstheme="minorHAnsi"/>
          <w:color w:val="000000" w:themeColor="text1"/>
          <w:sz w:val="22"/>
          <w:szCs w:val="22"/>
          <w:lang w:val="en-GB" w:bidi="ar-SA"/>
        </w:rPr>
        <w:t xml:space="preserve">to </w:t>
      </w:r>
      <w:r w:rsidRPr="00996624">
        <w:rPr>
          <w:rFonts w:ascii="Brandon Grotesque Regular" w:eastAsiaTheme="minorEastAsia" w:hAnsi="Brandon Grotesque Regular" w:cstheme="minorHAnsi"/>
          <w:color w:val="000000" w:themeColor="text1"/>
          <w:sz w:val="22"/>
          <w:szCs w:val="22"/>
          <w:lang w:val="en-GB" w:bidi="ar-SA"/>
        </w:rPr>
        <w:t xml:space="preserve">touch on how we continue to successfully execute on our capital management strategy </w:t>
      </w:r>
      <w:r w:rsidR="00341383">
        <w:rPr>
          <w:rFonts w:ascii="Brandon Grotesque Regular" w:eastAsiaTheme="minorEastAsia" w:hAnsi="Brandon Grotesque Regular" w:cstheme="minorHAnsi"/>
          <w:color w:val="000000" w:themeColor="text1"/>
          <w:sz w:val="22"/>
          <w:szCs w:val="22"/>
          <w:lang w:val="en-GB" w:bidi="ar-SA"/>
        </w:rPr>
        <w:t xml:space="preserve">which is </w:t>
      </w:r>
      <w:r w:rsidR="00341383" w:rsidRPr="00FD19C6">
        <w:rPr>
          <w:rFonts w:ascii="Brandon Grotesque Regular" w:eastAsiaTheme="minorEastAsia" w:hAnsi="Brandon Grotesque Regular" w:cstheme="minorHAnsi"/>
          <w:b/>
          <w:bCs/>
          <w:color w:val="000000" w:themeColor="text1"/>
          <w:sz w:val="22"/>
          <w:szCs w:val="22"/>
          <w:lang w:val="en-GB" w:bidi="ar-SA"/>
        </w:rPr>
        <w:t>covered on</w:t>
      </w:r>
      <w:r w:rsidRPr="00FD19C6">
        <w:rPr>
          <w:rFonts w:ascii="Brandon Grotesque Regular" w:eastAsiaTheme="minorEastAsia" w:hAnsi="Brandon Grotesque Regular" w:cstheme="minorHAnsi"/>
          <w:b/>
          <w:bCs/>
          <w:color w:val="000000" w:themeColor="text1"/>
          <w:sz w:val="22"/>
          <w:szCs w:val="22"/>
          <w:lang w:val="en-GB" w:bidi="ar-SA"/>
        </w:rPr>
        <w:t xml:space="preserve"> slide 18.</w:t>
      </w:r>
      <w:r w:rsidR="00F408E1">
        <w:rPr>
          <w:rFonts w:ascii="Brandon Grotesque Regular" w:eastAsiaTheme="minorEastAsia" w:hAnsi="Brandon Grotesque Regular" w:cstheme="minorHAnsi"/>
          <w:b/>
          <w:bCs/>
          <w:color w:val="000000" w:themeColor="text1"/>
          <w:sz w:val="22"/>
          <w:szCs w:val="22"/>
          <w:lang w:val="en-GB" w:bidi="ar-SA"/>
        </w:rPr>
        <w:t xml:space="preserve">  </w:t>
      </w:r>
    </w:p>
    <w:p w14:paraId="274C8DEB" w14:textId="77777777" w:rsidR="00C349B6" w:rsidRPr="00F408E1" w:rsidRDefault="00C349B6" w:rsidP="00F408E1">
      <w:pPr>
        <w:spacing w:after="0" w:line="240" w:lineRule="auto"/>
        <w:ind w:left="1134"/>
        <w:contextualSpacing/>
        <w:rPr>
          <w:rFonts w:ascii="Brandon Grotesque Regular" w:eastAsiaTheme="minorEastAsia" w:hAnsi="Brandon Grotesque Regular" w:cstheme="minorHAnsi"/>
          <w:b/>
          <w:bCs/>
          <w:color w:val="000000" w:themeColor="text1"/>
          <w:sz w:val="20"/>
          <w:szCs w:val="20"/>
          <w:highlight w:val="yellow"/>
          <w:lang w:val="en-GB" w:bidi="ar-SA"/>
        </w:rPr>
      </w:pPr>
    </w:p>
    <w:p w14:paraId="3BEAE2C2" w14:textId="77777777" w:rsidR="00C349B6" w:rsidRPr="00F408E1" w:rsidRDefault="00C349B6"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 18</w:t>
      </w:r>
    </w:p>
    <w:p w14:paraId="4ECAB94A" w14:textId="77777777" w:rsidR="00CB4F14" w:rsidRDefault="00CB4F14" w:rsidP="00F408E1">
      <w:pPr>
        <w:spacing w:after="0" w:line="240" w:lineRule="auto"/>
        <w:contextualSpacing/>
        <w:jc w:val="center"/>
        <w:rPr>
          <w:rFonts w:ascii="Brandon Grotesque Regular" w:eastAsiaTheme="minorEastAsia" w:hAnsi="Brandon Grotesque Regular" w:cstheme="minorHAnsi"/>
          <w:color w:val="000000" w:themeColor="text1"/>
          <w:sz w:val="20"/>
          <w:szCs w:val="20"/>
          <w:highlight w:val="yellow"/>
          <w:lang w:val="en-GB" w:bidi="ar-SA"/>
        </w:rPr>
      </w:pPr>
    </w:p>
    <w:p w14:paraId="167CB399" w14:textId="316E1E66" w:rsidR="00CB4F14" w:rsidRPr="00996624" w:rsidRDefault="00CB4F14" w:rsidP="00F408E1">
      <w:pPr>
        <w:spacing w:after="0" w:line="240" w:lineRule="auto"/>
        <w:contextualSpacing/>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Our capital management strategy is supported by our efficient scaled funding model, including how we have led the market in </w:t>
      </w:r>
      <w:r w:rsidR="002048C0">
        <w:rPr>
          <w:rFonts w:ascii="Brandon Grotesque Regular" w:eastAsiaTheme="minorEastAsia" w:hAnsi="Brandon Grotesque Regular" w:cstheme="minorHAnsi"/>
          <w:color w:val="000000" w:themeColor="text1"/>
          <w:sz w:val="22"/>
          <w:szCs w:val="22"/>
          <w:lang w:val="en-GB" w:bidi="ar-SA"/>
        </w:rPr>
        <w:t>W</w:t>
      </w:r>
      <w:r w:rsidRPr="00996624">
        <w:rPr>
          <w:rFonts w:ascii="Brandon Grotesque Regular" w:eastAsiaTheme="minorEastAsia" w:hAnsi="Brandon Grotesque Regular" w:cstheme="minorHAnsi"/>
          <w:color w:val="000000" w:themeColor="text1"/>
          <w:sz w:val="22"/>
          <w:szCs w:val="22"/>
          <w:lang w:val="en-GB" w:bidi="ar-SA"/>
        </w:rPr>
        <w:t xml:space="preserve">hole </w:t>
      </w:r>
      <w:r w:rsidR="002048C0">
        <w:rPr>
          <w:rFonts w:ascii="Brandon Grotesque Regular" w:eastAsiaTheme="minorEastAsia" w:hAnsi="Brandon Grotesque Regular" w:cstheme="minorHAnsi"/>
          <w:color w:val="000000" w:themeColor="text1"/>
          <w:sz w:val="22"/>
          <w:szCs w:val="22"/>
          <w:lang w:val="en-GB" w:bidi="ar-SA"/>
        </w:rPr>
        <w:t>L</w:t>
      </w:r>
      <w:r w:rsidRPr="00996624">
        <w:rPr>
          <w:rFonts w:ascii="Brandon Grotesque Regular" w:eastAsiaTheme="minorEastAsia" w:hAnsi="Brandon Grotesque Regular" w:cstheme="minorHAnsi"/>
          <w:color w:val="000000" w:themeColor="text1"/>
          <w:sz w:val="22"/>
          <w:szCs w:val="22"/>
          <w:lang w:val="en-GB" w:bidi="ar-SA"/>
        </w:rPr>
        <w:t xml:space="preserve">oan </w:t>
      </w:r>
      <w:r w:rsidR="002048C0">
        <w:rPr>
          <w:rFonts w:ascii="Brandon Grotesque Regular" w:eastAsiaTheme="minorEastAsia" w:hAnsi="Brandon Grotesque Regular" w:cstheme="minorHAnsi"/>
          <w:color w:val="000000" w:themeColor="text1"/>
          <w:sz w:val="22"/>
          <w:szCs w:val="22"/>
          <w:lang w:val="en-GB" w:bidi="ar-SA"/>
        </w:rPr>
        <w:t>S</w:t>
      </w:r>
      <w:r w:rsidRPr="00996624">
        <w:rPr>
          <w:rFonts w:ascii="Brandon Grotesque Regular" w:eastAsiaTheme="minorEastAsia" w:hAnsi="Brandon Grotesque Regular" w:cstheme="minorHAnsi"/>
          <w:color w:val="000000" w:themeColor="text1"/>
          <w:sz w:val="22"/>
          <w:szCs w:val="22"/>
          <w:lang w:val="en-GB" w:bidi="ar-SA"/>
        </w:rPr>
        <w:t xml:space="preserve">ales – demonstrating the embedded value of our </w:t>
      </w:r>
      <w:r w:rsidR="002048C0">
        <w:rPr>
          <w:rFonts w:ascii="Brandon Grotesque Regular" w:eastAsiaTheme="minorEastAsia" w:hAnsi="Brandon Grotesque Regular" w:cstheme="minorHAnsi"/>
          <w:color w:val="000000" w:themeColor="text1"/>
          <w:sz w:val="22"/>
          <w:szCs w:val="22"/>
          <w:lang w:val="en-GB" w:bidi="ar-SA"/>
        </w:rPr>
        <w:t xml:space="preserve">back </w:t>
      </w:r>
      <w:r w:rsidRPr="00996624">
        <w:rPr>
          <w:rFonts w:ascii="Brandon Grotesque Regular" w:eastAsiaTheme="minorEastAsia" w:hAnsi="Brandon Grotesque Regular" w:cstheme="minorHAnsi"/>
          <w:color w:val="000000" w:themeColor="text1"/>
          <w:sz w:val="22"/>
          <w:szCs w:val="22"/>
          <w:lang w:val="en-GB" w:bidi="ar-SA"/>
        </w:rPr>
        <w:t>book – coupled with how we approach liqu</w:t>
      </w:r>
      <w:r w:rsidR="00DA1150" w:rsidRPr="00996624">
        <w:rPr>
          <w:rFonts w:ascii="Brandon Grotesque Regular" w:eastAsiaTheme="minorEastAsia" w:hAnsi="Brandon Grotesque Regular" w:cstheme="minorHAnsi"/>
          <w:color w:val="000000" w:themeColor="text1"/>
          <w:sz w:val="22"/>
          <w:szCs w:val="22"/>
          <w:lang w:val="en-GB" w:bidi="ar-SA"/>
        </w:rPr>
        <w:t xml:space="preserve">idity which includes </w:t>
      </w:r>
      <w:r w:rsidRPr="00996624">
        <w:rPr>
          <w:rFonts w:ascii="Brandon Grotesque Regular" w:eastAsiaTheme="minorEastAsia" w:hAnsi="Brandon Grotesque Regular" w:cstheme="minorHAnsi"/>
          <w:color w:val="000000" w:themeColor="text1"/>
          <w:sz w:val="22"/>
          <w:szCs w:val="22"/>
          <w:lang w:val="en-GB" w:bidi="ar-SA"/>
        </w:rPr>
        <w:t>consistent year</w:t>
      </w:r>
      <w:r w:rsidR="00341383">
        <w:rPr>
          <w:rFonts w:ascii="Brandon Grotesque Regular" w:eastAsiaTheme="minorEastAsia" w:hAnsi="Brandon Grotesque Regular" w:cstheme="minorHAnsi"/>
          <w:color w:val="000000" w:themeColor="text1"/>
          <w:sz w:val="22"/>
          <w:szCs w:val="22"/>
          <w:lang w:val="en-GB" w:bidi="ar-SA"/>
        </w:rPr>
        <w:t xml:space="preserve"> on</w:t>
      </w:r>
      <w:r w:rsidRPr="00996624">
        <w:rPr>
          <w:rFonts w:ascii="Brandon Grotesque Regular" w:eastAsiaTheme="minorEastAsia" w:hAnsi="Brandon Grotesque Regular" w:cstheme="minorHAnsi"/>
          <w:color w:val="000000" w:themeColor="text1"/>
          <w:sz w:val="22"/>
          <w:szCs w:val="22"/>
          <w:lang w:val="en-GB" w:bidi="ar-SA"/>
        </w:rPr>
        <w:t xml:space="preserve"> year </w:t>
      </w:r>
      <w:r w:rsidR="00341383">
        <w:rPr>
          <w:rFonts w:ascii="Brandon Grotesque Regular" w:eastAsiaTheme="minorEastAsia" w:hAnsi="Brandon Grotesque Regular" w:cstheme="minorHAnsi"/>
          <w:color w:val="000000" w:themeColor="text1"/>
          <w:sz w:val="22"/>
          <w:szCs w:val="22"/>
          <w:lang w:val="en-GB" w:bidi="ar-SA"/>
        </w:rPr>
        <w:t xml:space="preserve">investment </w:t>
      </w:r>
      <w:r w:rsidR="00DA1150" w:rsidRPr="00996624">
        <w:rPr>
          <w:rFonts w:ascii="Brandon Grotesque Regular" w:eastAsiaTheme="minorEastAsia" w:hAnsi="Brandon Grotesque Regular" w:cstheme="minorHAnsi"/>
          <w:color w:val="000000" w:themeColor="text1"/>
          <w:sz w:val="22"/>
          <w:szCs w:val="22"/>
          <w:lang w:val="en-GB" w:bidi="ar-SA"/>
        </w:rPr>
        <w:t>behind processes, tec</w:t>
      </w:r>
      <w:r w:rsidRPr="00996624">
        <w:rPr>
          <w:rFonts w:ascii="Brandon Grotesque Regular" w:eastAsiaTheme="minorEastAsia" w:hAnsi="Brandon Grotesque Regular" w:cstheme="minorHAnsi"/>
          <w:color w:val="000000" w:themeColor="text1"/>
          <w:sz w:val="22"/>
          <w:szCs w:val="22"/>
          <w:lang w:val="en-GB" w:bidi="ar-SA"/>
        </w:rPr>
        <w:t>hnology and marketing</w:t>
      </w:r>
      <w:r w:rsidR="00DA1150" w:rsidRPr="00996624">
        <w:rPr>
          <w:rFonts w:ascii="Brandon Grotesque Regular" w:eastAsiaTheme="minorEastAsia" w:hAnsi="Brandon Grotesque Regular" w:cstheme="minorHAnsi"/>
          <w:color w:val="000000" w:themeColor="text1"/>
          <w:sz w:val="22"/>
          <w:szCs w:val="22"/>
          <w:lang w:val="en-GB" w:bidi="ar-SA"/>
        </w:rPr>
        <w:t>.</w:t>
      </w:r>
    </w:p>
    <w:p w14:paraId="53EA6A13" w14:textId="77777777" w:rsidR="00DA1150" w:rsidRPr="00996624" w:rsidRDefault="00DA1150" w:rsidP="00F408E1">
      <w:pPr>
        <w:spacing w:after="0" w:line="240" w:lineRule="auto"/>
        <w:contextualSpacing/>
        <w:rPr>
          <w:rFonts w:ascii="Brandon Grotesque Regular" w:eastAsiaTheme="minorEastAsia" w:hAnsi="Brandon Grotesque Regular" w:cstheme="minorHAnsi"/>
          <w:color w:val="000000" w:themeColor="text1"/>
          <w:sz w:val="22"/>
          <w:szCs w:val="22"/>
          <w:lang w:val="en-GB" w:bidi="ar-SA"/>
        </w:rPr>
      </w:pPr>
    </w:p>
    <w:p w14:paraId="18A8A700" w14:textId="191B6DD7" w:rsidR="00DA1150" w:rsidRPr="00996624" w:rsidRDefault="00DA1150" w:rsidP="00F408E1">
      <w:pPr>
        <w:spacing w:after="0" w:line="240" w:lineRule="auto"/>
        <w:contextualSpacing/>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Given the level of cash that the business generates we have, over the first half of 2025 alone</w:t>
      </w:r>
    </w:p>
    <w:p w14:paraId="6E7A983F" w14:textId="3D85416C" w:rsidR="00DA1150" w:rsidRPr="00996624" w:rsidRDefault="00DA1150"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Repaid $27.5 million</w:t>
      </w:r>
      <w:r w:rsidR="00406151">
        <w:rPr>
          <w:rFonts w:ascii="Brandon Grotesque Regular" w:eastAsiaTheme="minorEastAsia" w:hAnsi="Brandon Grotesque Regular" w:cstheme="minorHAnsi"/>
          <w:color w:val="000000" w:themeColor="text1"/>
          <w:sz w:val="22"/>
          <w:szCs w:val="22"/>
          <w:lang w:val="en-GB" w:bidi="ar-SA"/>
        </w:rPr>
        <w:t xml:space="preserve"> </w:t>
      </w:r>
      <w:r w:rsidR="00F67647">
        <w:rPr>
          <w:rFonts w:ascii="Brandon Grotesque Regular" w:eastAsiaTheme="minorEastAsia" w:hAnsi="Brandon Grotesque Regular" w:cstheme="minorHAnsi"/>
          <w:color w:val="000000" w:themeColor="text1"/>
          <w:sz w:val="22"/>
          <w:szCs w:val="22"/>
          <w:lang w:val="en-GB" w:bidi="ar-SA"/>
        </w:rPr>
        <w:t>o</w:t>
      </w:r>
      <w:r w:rsidR="00341383">
        <w:rPr>
          <w:rFonts w:ascii="Brandon Grotesque Regular" w:eastAsiaTheme="minorEastAsia" w:hAnsi="Brandon Grotesque Regular" w:cstheme="minorHAnsi"/>
          <w:color w:val="000000" w:themeColor="text1"/>
          <w:sz w:val="22"/>
          <w:szCs w:val="22"/>
          <w:lang w:val="en-GB" w:bidi="ar-SA"/>
        </w:rPr>
        <w:t>f</w:t>
      </w:r>
      <w:r w:rsidR="00F67647">
        <w:rPr>
          <w:rFonts w:ascii="Brandon Grotesque Regular" w:eastAsiaTheme="minorEastAsia" w:hAnsi="Brandon Grotesque Regular" w:cstheme="minorHAnsi"/>
          <w:color w:val="000000" w:themeColor="text1"/>
          <w:sz w:val="22"/>
          <w:szCs w:val="22"/>
          <w:lang w:val="en-GB" w:bidi="ar-SA"/>
        </w:rPr>
        <w:t xml:space="preserve"> the</w:t>
      </w:r>
      <w:r w:rsidRPr="00996624">
        <w:rPr>
          <w:rFonts w:ascii="Brandon Grotesque Regular" w:eastAsiaTheme="minorEastAsia" w:hAnsi="Brandon Grotesque Regular" w:cstheme="minorHAnsi"/>
          <w:color w:val="000000" w:themeColor="text1"/>
          <w:sz w:val="22"/>
          <w:szCs w:val="22"/>
          <w:lang w:val="en-GB" w:bidi="ar-SA"/>
        </w:rPr>
        <w:t xml:space="preserve"> Corporate Debt</w:t>
      </w:r>
      <w:r w:rsidR="00F67647">
        <w:rPr>
          <w:rFonts w:ascii="Brandon Grotesque Regular" w:eastAsiaTheme="minorEastAsia" w:hAnsi="Brandon Grotesque Regular" w:cstheme="minorHAnsi"/>
          <w:color w:val="000000" w:themeColor="text1"/>
          <w:sz w:val="22"/>
          <w:szCs w:val="22"/>
          <w:lang w:val="en-GB" w:bidi="ar-SA"/>
        </w:rPr>
        <w:t xml:space="preserve"> Facility</w:t>
      </w:r>
      <w:r w:rsidRPr="00996624">
        <w:rPr>
          <w:rFonts w:ascii="Brandon Grotesque Regular" w:eastAsiaTheme="minorEastAsia" w:hAnsi="Brandon Grotesque Regular" w:cstheme="minorHAnsi"/>
          <w:color w:val="000000" w:themeColor="text1"/>
          <w:sz w:val="22"/>
          <w:szCs w:val="22"/>
          <w:lang w:val="en-GB" w:bidi="ar-SA"/>
        </w:rPr>
        <w:t xml:space="preserve"> – and in total $57.5 million</w:t>
      </w:r>
      <w:r w:rsidR="00D620D0">
        <w:rPr>
          <w:rFonts w:ascii="Brandon Grotesque Regular" w:eastAsiaTheme="minorEastAsia" w:hAnsi="Brandon Grotesque Regular" w:cstheme="minorHAnsi"/>
          <w:color w:val="000000" w:themeColor="text1"/>
          <w:sz w:val="22"/>
          <w:szCs w:val="22"/>
          <w:lang w:val="en-GB" w:bidi="ar-SA"/>
        </w:rPr>
        <w:t xml:space="preserve"> of Corporate Debt </w:t>
      </w:r>
      <w:r w:rsidRPr="00996624">
        <w:rPr>
          <w:rFonts w:ascii="Brandon Grotesque Regular" w:eastAsiaTheme="minorEastAsia" w:hAnsi="Brandon Grotesque Regular" w:cstheme="minorHAnsi"/>
          <w:color w:val="000000" w:themeColor="text1"/>
          <w:sz w:val="22"/>
          <w:szCs w:val="22"/>
          <w:lang w:val="en-GB" w:bidi="ar-SA"/>
        </w:rPr>
        <w:t>has been repaid since June 2024.</w:t>
      </w:r>
      <w:r w:rsidR="00D84875">
        <w:rPr>
          <w:rFonts w:ascii="Brandon Grotesque Regular" w:eastAsiaTheme="minorEastAsia" w:hAnsi="Brandon Grotesque Regular" w:cstheme="minorHAnsi"/>
          <w:color w:val="000000" w:themeColor="text1"/>
          <w:sz w:val="22"/>
          <w:szCs w:val="22"/>
          <w:lang w:val="en-GB" w:bidi="ar-SA"/>
        </w:rPr>
        <w:t xml:space="preserve"> </w:t>
      </w:r>
      <w:r w:rsidR="00526E1F">
        <w:rPr>
          <w:rFonts w:ascii="Brandon Grotesque Regular" w:eastAsiaTheme="minorEastAsia" w:hAnsi="Brandon Grotesque Regular" w:cstheme="minorHAnsi"/>
          <w:color w:val="000000" w:themeColor="text1"/>
          <w:sz w:val="22"/>
          <w:szCs w:val="22"/>
          <w:lang w:val="en-GB" w:bidi="ar-SA"/>
        </w:rPr>
        <w:t xml:space="preserve"> Over and above </w:t>
      </w:r>
      <w:r w:rsidR="0012299F">
        <w:rPr>
          <w:rFonts w:ascii="Brandon Grotesque Regular" w:eastAsiaTheme="minorEastAsia" w:hAnsi="Brandon Grotesque Regular" w:cstheme="minorHAnsi"/>
          <w:color w:val="000000" w:themeColor="text1"/>
          <w:sz w:val="22"/>
          <w:szCs w:val="22"/>
          <w:lang w:val="en-GB" w:bidi="ar-SA"/>
        </w:rPr>
        <w:t xml:space="preserve">the </w:t>
      </w:r>
      <w:r w:rsidR="00526E1F">
        <w:rPr>
          <w:rFonts w:ascii="Brandon Grotesque Regular" w:eastAsiaTheme="minorEastAsia" w:hAnsi="Brandon Grotesque Regular" w:cstheme="minorHAnsi"/>
          <w:color w:val="000000" w:themeColor="text1"/>
          <w:sz w:val="22"/>
          <w:szCs w:val="22"/>
          <w:lang w:val="en-GB" w:bidi="ar-SA"/>
        </w:rPr>
        <w:t xml:space="preserve">CDF </w:t>
      </w:r>
      <w:r w:rsidR="00341383">
        <w:rPr>
          <w:rFonts w:ascii="Brandon Grotesque Regular" w:eastAsiaTheme="minorEastAsia" w:hAnsi="Brandon Grotesque Regular" w:cstheme="minorHAnsi"/>
          <w:color w:val="000000" w:themeColor="text1"/>
          <w:sz w:val="22"/>
          <w:szCs w:val="22"/>
          <w:lang w:val="en-GB" w:bidi="ar-SA"/>
        </w:rPr>
        <w:t>repayments</w:t>
      </w:r>
      <w:r w:rsidR="0012299F">
        <w:rPr>
          <w:rFonts w:ascii="Brandon Grotesque Regular" w:eastAsiaTheme="minorEastAsia" w:hAnsi="Brandon Grotesque Regular" w:cstheme="minorHAnsi"/>
          <w:color w:val="000000" w:themeColor="text1"/>
          <w:sz w:val="22"/>
          <w:szCs w:val="22"/>
          <w:lang w:val="en-GB" w:bidi="ar-SA"/>
        </w:rPr>
        <w:t>,</w:t>
      </w:r>
      <w:r w:rsidR="00341383">
        <w:rPr>
          <w:rFonts w:ascii="Brandon Grotesque Regular" w:eastAsiaTheme="minorEastAsia" w:hAnsi="Brandon Grotesque Regular" w:cstheme="minorHAnsi"/>
          <w:color w:val="000000" w:themeColor="text1"/>
          <w:sz w:val="22"/>
          <w:szCs w:val="22"/>
          <w:lang w:val="en-GB" w:bidi="ar-SA"/>
        </w:rPr>
        <w:t xml:space="preserve"> </w:t>
      </w:r>
      <w:r w:rsidR="00526E1F">
        <w:rPr>
          <w:rFonts w:ascii="Brandon Grotesque Regular" w:eastAsiaTheme="minorEastAsia" w:hAnsi="Brandon Grotesque Regular" w:cstheme="minorHAnsi"/>
          <w:color w:val="000000" w:themeColor="text1"/>
          <w:sz w:val="22"/>
          <w:szCs w:val="22"/>
          <w:lang w:val="en-GB" w:bidi="ar-SA"/>
        </w:rPr>
        <w:t xml:space="preserve">we </w:t>
      </w:r>
      <w:r w:rsidR="00341383">
        <w:rPr>
          <w:rFonts w:ascii="Brandon Grotesque Regular" w:eastAsiaTheme="minorEastAsia" w:hAnsi="Brandon Grotesque Regular" w:cstheme="minorHAnsi"/>
          <w:color w:val="000000" w:themeColor="text1"/>
          <w:sz w:val="22"/>
          <w:szCs w:val="22"/>
          <w:lang w:val="en-GB" w:bidi="ar-SA"/>
        </w:rPr>
        <w:t xml:space="preserve">have </w:t>
      </w:r>
      <w:r w:rsidR="00526E1F">
        <w:rPr>
          <w:rFonts w:ascii="Brandon Grotesque Regular" w:eastAsiaTheme="minorEastAsia" w:hAnsi="Brandon Grotesque Regular" w:cstheme="minorHAnsi"/>
          <w:color w:val="000000" w:themeColor="text1"/>
          <w:sz w:val="22"/>
          <w:szCs w:val="22"/>
          <w:lang w:val="en-GB" w:bidi="ar-SA"/>
        </w:rPr>
        <w:t xml:space="preserve">also </w:t>
      </w:r>
      <w:r w:rsidR="00D84875">
        <w:rPr>
          <w:rFonts w:ascii="Brandon Grotesque Regular" w:eastAsiaTheme="minorEastAsia" w:hAnsi="Brandon Grotesque Regular" w:cstheme="minorHAnsi"/>
          <w:color w:val="000000" w:themeColor="text1"/>
          <w:sz w:val="22"/>
          <w:szCs w:val="22"/>
          <w:lang w:val="en-GB" w:bidi="ar-SA"/>
        </w:rPr>
        <w:t>retired</w:t>
      </w:r>
      <w:r w:rsidR="00341383">
        <w:rPr>
          <w:rFonts w:ascii="Brandon Grotesque Regular" w:eastAsiaTheme="minorEastAsia" w:hAnsi="Brandon Grotesque Regular" w:cstheme="minorHAnsi"/>
          <w:color w:val="000000" w:themeColor="text1"/>
          <w:sz w:val="22"/>
          <w:szCs w:val="22"/>
          <w:lang w:val="en-GB" w:bidi="ar-SA"/>
        </w:rPr>
        <w:t xml:space="preserve"> a $</w:t>
      </w:r>
      <w:r w:rsidR="00D84875">
        <w:rPr>
          <w:rFonts w:ascii="Brandon Grotesque Regular" w:eastAsiaTheme="minorEastAsia" w:hAnsi="Brandon Grotesque Regular" w:cstheme="minorHAnsi"/>
          <w:color w:val="000000" w:themeColor="text1"/>
          <w:sz w:val="22"/>
          <w:szCs w:val="22"/>
          <w:lang w:val="en-GB" w:bidi="ar-SA"/>
        </w:rPr>
        <w:t>25</w:t>
      </w:r>
      <w:r w:rsidR="00341383">
        <w:rPr>
          <w:rFonts w:ascii="Brandon Grotesque Regular" w:eastAsiaTheme="minorEastAsia" w:hAnsi="Brandon Grotesque Regular" w:cstheme="minorHAnsi"/>
          <w:color w:val="000000" w:themeColor="text1"/>
          <w:sz w:val="22"/>
          <w:szCs w:val="22"/>
          <w:lang w:val="en-GB" w:bidi="ar-SA"/>
        </w:rPr>
        <w:t xml:space="preserve">.0 million </w:t>
      </w:r>
      <w:r w:rsidR="00D84875">
        <w:rPr>
          <w:rFonts w:ascii="Brandon Grotesque Regular" w:eastAsiaTheme="minorEastAsia" w:hAnsi="Brandon Grotesque Regular" w:cstheme="minorHAnsi"/>
          <w:color w:val="000000" w:themeColor="text1"/>
          <w:sz w:val="22"/>
          <w:szCs w:val="22"/>
          <w:lang w:val="en-GB" w:bidi="ar-SA"/>
        </w:rPr>
        <w:t xml:space="preserve">Subordinated Debt </w:t>
      </w:r>
      <w:r w:rsidR="00D620D0">
        <w:rPr>
          <w:rFonts w:ascii="Brandon Grotesque Regular" w:eastAsiaTheme="minorEastAsia" w:hAnsi="Brandon Grotesque Regular" w:cstheme="minorHAnsi"/>
          <w:color w:val="000000" w:themeColor="text1"/>
          <w:sz w:val="22"/>
          <w:szCs w:val="22"/>
          <w:lang w:val="en-GB" w:bidi="ar-SA"/>
        </w:rPr>
        <w:t>in</w:t>
      </w:r>
      <w:r w:rsidR="00526E1F">
        <w:rPr>
          <w:rFonts w:ascii="Brandon Grotesque Regular" w:eastAsiaTheme="minorEastAsia" w:hAnsi="Brandon Grotesque Regular" w:cstheme="minorHAnsi"/>
          <w:color w:val="000000" w:themeColor="text1"/>
          <w:sz w:val="22"/>
          <w:szCs w:val="22"/>
          <w:lang w:val="en-GB" w:bidi="ar-SA"/>
        </w:rPr>
        <w:t xml:space="preserve"> the </w:t>
      </w:r>
      <w:r w:rsidR="00341383">
        <w:rPr>
          <w:rFonts w:ascii="Brandon Grotesque Regular" w:eastAsiaTheme="minorEastAsia" w:hAnsi="Brandon Grotesque Regular" w:cstheme="minorHAnsi"/>
          <w:color w:val="000000" w:themeColor="text1"/>
          <w:sz w:val="22"/>
          <w:szCs w:val="22"/>
          <w:lang w:val="en-GB" w:bidi="ar-SA"/>
        </w:rPr>
        <w:t>latter</w:t>
      </w:r>
      <w:r w:rsidR="00526E1F">
        <w:rPr>
          <w:rFonts w:ascii="Brandon Grotesque Regular" w:eastAsiaTheme="minorEastAsia" w:hAnsi="Brandon Grotesque Regular" w:cstheme="minorHAnsi"/>
          <w:color w:val="000000" w:themeColor="text1"/>
          <w:sz w:val="22"/>
          <w:szCs w:val="22"/>
          <w:lang w:val="en-GB" w:bidi="ar-SA"/>
        </w:rPr>
        <w:t xml:space="preserve"> half of </w:t>
      </w:r>
      <w:r w:rsidR="00D620D0">
        <w:rPr>
          <w:rFonts w:ascii="Brandon Grotesque Regular" w:eastAsiaTheme="minorEastAsia" w:hAnsi="Brandon Grotesque Regular" w:cstheme="minorHAnsi"/>
          <w:color w:val="000000" w:themeColor="text1"/>
          <w:sz w:val="22"/>
          <w:szCs w:val="22"/>
          <w:lang w:val="en-GB" w:bidi="ar-SA"/>
        </w:rPr>
        <w:t>2024</w:t>
      </w:r>
      <w:r w:rsidR="00526E1F">
        <w:rPr>
          <w:rFonts w:ascii="Brandon Grotesque Regular" w:eastAsiaTheme="minorEastAsia" w:hAnsi="Brandon Grotesque Regular" w:cstheme="minorHAnsi"/>
          <w:color w:val="000000" w:themeColor="text1"/>
          <w:sz w:val="22"/>
          <w:szCs w:val="22"/>
          <w:lang w:val="en-GB" w:bidi="ar-SA"/>
        </w:rPr>
        <w:t>.</w:t>
      </w:r>
    </w:p>
    <w:p w14:paraId="484CD003" w14:textId="76EEFC0D" w:rsidR="00DA1150" w:rsidRPr="00996624" w:rsidRDefault="00DA1150"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continue to execute our On Market Share Buy Back – acquiring 10% of traded shares during the period we were in market. </w:t>
      </w:r>
    </w:p>
    <w:p w14:paraId="2CE7E176" w14:textId="4D409A21" w:rsidR="00DA1150" w:rsidRPr="00996624" w:rsidRDefault="00DA1150"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We closed the half with Unrestricted cash at $142.9 million from which we declared an interim dividend – fully franked – of $28.2 million and</w:t>
      </w:r>
    </w:p>
    <w:p w14:paraId="3BC27057" w14:textId="604D483A" w:rsidR="00DA1150" w:rsidRPr="00996624" w:rsidRDefault="00DA1150"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Paid a fully franked Special Dividend of $55.5 million</w:t>
      </w:r>
      <w:r w:rsidR="006002C4">
        <w:rPr>
          <w:rFonts w:ascii="Brandon Grotesque Regular" w:eastAsiaTheme="minorEastAsia" w:hAnsi="Brandon Grotesque Regular" w:cstheme="minorHAnsi"/>
          <w:color w:val="000000" w:themeColor="text1"/>
          <w:sz w:val="22"/>
          <w:szCs w:val="22"/>
          <w:lang w:val="en-GB" w:bidi="ar-SA"/>
        </w:rPr>
        <w:t xml:space="preserve"> in July</w:t>
      </w:r>
      <w:r w:rsidRPr="00996624">
        <w:rPr>
          <w:rFonts w:ascii="Brandon Grotesque Regular" w:eastAsiaTheme="minorEastAsia" w:hAnsi="Brandon Grotesque Regular" w:cstheme="minorHAnsi"/>
          <w:color w:val="000000" w:themeColor="text1"/>
          <w:sz w:val="22"/>
          <w:szCs w:val="22"/>
          <w:lang w:val="en-GB" w:bidi="ar-SA"/>
        </w:rPr>
        <w:t>, which we declared in June.  As this is redistributing retained earnings</w:t>
      </w:r>
      <w:r w:rsidR="00341383">
        <w:rPr>
          <w:rFonts w:ascii="Brandon Grotesque Regular" w:eastAsiaTheme="minorEastAsia" w:hAnsi="Brandon Grotesque Regular" w:cstheme="minorHAnsi"/>
          <w:color w:val="000000" w:themeColor="text1"/>
          <w:sz w:val="22"/>
          <w:szCs w:val="22"/>
          <w:lang w:val="en-GB" w:bidi="ar-SA"/>
        </w:rPr>
        <w:t xml:space="preserve"> to shareholders it has delivered </w:t>
      </w:r>
      <w:r w:rsidRPr="00996624">
        <w:rPr>
          <w:rFonts w:ascii="Brandon Grotesque Regular" w:eastAsiaTheme="minorEastAsia" w:hAnsi="Brandon Grotesque Regular" w:cstheme="minorHAnsi"/>
          <w:color w:val="000000" w:themeColor="text1"/>
          <w:sz w:val="22"/>
          <w:szCs w:val="22"/>
          <w:lang w:val="en-GB" w:bidi="ar-SA"/>
        </w:rPr>
        <w:t xml:space="preserve">an </w:t>
      </w:r>
      <w:r w:rsidR="00A323AA" w:rsidRPr="00996624">
        <w:rPr>
          <w:rFonts w:ascii="Brandon Grotesque Regular" w:eastAsiaTheme="minorEastAsia" w:hAnsi="Brandon Grotesque Regular" w:cstheme="minorHAnsi"/>
          <w:color w:val="000000" w:themeColor="text1"/>
          <w:sz w:val="22"/>
          <w:szCs w:val="22"/>
          <w:lang w:val="en-GB" w:bidi="ar-SA"/>
        </w:rPr>
        <w:t>8</w:t>
      </w:r>
      <w:r w:rsidR="00A323AA">
        <w:rPr>
          <w:rFonts w:ascii="Brandon Grotesque Regular" w:eastAsiaTheme="minorEastAsia" w:hAnsi="Brandon Grotesque Regular" w:cstheme="minorHAnsi"/>
          <w:color w:val="000000" w:themeColor="text1"/>
          <w:sz w:val="22"/>
          <w:szCs w:val="22"/>
          <w:lang w:val="en-GB" w:bidi="ar-SA"/>
        </w:rPr>
        <w:t>6</w:t>
      </w:r>
      <w:r w:rsidR="00A323AA" w:rsidRPr="00996624">
        <w:rPr>
          <w:rFonts w:ascii="Brandon Grotesque Regular" w:eastAsiaTheme="minorEastAsia" w:hAnsi="Brandon Grotesque Regular" w:cstheme="minorHAnsi"/>
          <w:color w:val="000000" w:themeColor="text1"/>
          <w:sz w:val="22"/>
          <w:szCs w:val="22"/>
          <w:lang w:val="en-GB" w:bidi="ar-SA"/>
        </w:rPr>
        <w:t>-basis</w:t>
      </w:r>
      <w:r w:rsidRPr="00996624">
        <w:rPr>
          <w:rFonts w:ascii="Brandon Grotesque Regular" w:eastAsiaTheme="minorEastAsia" w:hAnsi="Brandon Grotesque Regular" w:cstheme="minorHAnsi"/>
          <w:color w:val="000000" w:themeColor="text1"/>
          <w:sz w:val="22"/>
          <w:szCs w:val="22"/>
          <w:lang w:val="en-GB" w:bidi="ar-SA"/>
        </w:rPr>
        <w:t xml:space="preserve"> points improvement in Return on Equity.</w:t>
      </w:r>
    </w:p>
    <w:p w14:paraId="4E927E75" w14:textId="77777777" w:rsidR="00F408E1" w:rsidRDefault="00F408E1" w:rsidP="00F408E1">
      <w:pPr>
        <w:spacing w:after="0" w:line="240" w:lineRule="auto"/>
        <w:contextualSpacing/>
        <w:rPr>
          <w:rFonts w:ascii="Brandon Grotesque Regular" w:eastAsiaTheme="minorEastAsia" w:hAnsi="Brandon Grotesque Regular" w:cstheme="minorHAnsi"/>
          <w:color w:val="000000" w:themeColor="text1"/>
          <w:sz w:val="22"/>
          <w:szCs w:val="22"/>
          <w:lang w:val="en-GB" w:bidi="ar-SA"/>
        </w:rPr>
      </w:pPr>
    </w:p>
    <w:p w14:paraId="452AAA47" w14:textId="11463CAD" w:rsidR="00DA1150" w:rsidRPr="00F408E1" w:rsidRDefault="00DA1150" w:rsidP="00F408E1">
      <w:pPr>
        <w:spacing w:after="0" w:line="240" w:lineRule="auto"/>
        <w:contextualSpacing/>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 xml:space="preserve">Sources and Uses of Cash has been provided on slide 19 so turning to </w:t>
      </w:r>
      <w:r w:rsidR="001B0BA1" w:rsidRPr="00F408E1">
        <w:rPr>
          <w:rFonts w:ascii="Brandon Grotesque Regular" w:eastAsiaTheme="minorEastAsia" w:hAnsi="Brandon Grotesque Regular" w:cstheme="minorHAnsi"/>
          <w:color w:val="000000" w:themeColor="text1"/>
          <w:sz w:val="22"/>
          <w:szCs w:val="22"/>
          <w:lang w:val="en-GB" w:bidi="ar-SA"/>
        </w:rPr>
        <w:t xml:space="preserve">close </w:t>
      </w:r>
      <w:r w:rsidR="00B979DE" w:rsidRPr="00F408E1">
        <w:rPr>
          <w:rFonts w:ascii="Brandon Grotesque Regular" w:eastAsiaTheme="minorEastAsia" w:hAnsi="Brandon Grotesque Regular" w:cstheme="minorHAnsi"/>
          <w:color w:val="000000" w:themeColor="text1"/>
          <w:sz w:val="22"/>
          <w:szCs w:val="22"/>
          <w:lang w:val="en-GB" w:bidi="ar-SA"/>
        </w:rPr>
        <w:t xml:space="preserve">out </w:t>
      </w:r>
      <w:r w:rsidR="001B0BA1" w:rsidRPr="00F408E1">
        <w:rPr>
          <w:rFonts w:ascii="Brandon Grotesque Regular" w:eastAsiaTheme="minorEastAsia" w:hAnsi="Brandon Grotesque Regular" w:cstheme="minorHAnsi"/>
          <w:color w:val="000000" w:themeColor="text1"/>
          <w:sz w:val="22"/>
          <w:szCs w:val="22"/>
          <w:lang w:val="en-GB" w:bidi="ar-SA"/>
        </w:rPr>
        <w:t xml:space="preserve">on </w:t>
      </w:r>
      <w:r w:rsidRPr="00F408E1">
        <w:rPr>
          <w:rFonts w:ascii="Brandon Grotesque Regular" w:eastAsiaTheme="minorEastAsia" w:hAnsi="Brandon Grotesque Regular" w:cstheme="minorHAnsi"/>
          <w:color w:val="000000" w:themeColor="text1"/>
          <w:sz w:val="22"/>
          <w:szCs w:val="22"/>
          <w:lang w:val="en-GB" w:bidi="ar-SA"/>
        </w:rPr>
        <w:t>our Balance Sheet on slide 20</w:t>
      </w:r>
      <w:r w:rsidR="00F408E1" w:rsidRPr="00F408E1">
        <w:rPr>
          <w:rFonts w:ascii="Brandon Grotesque Regular" w:eastAsiaTheme="minorEastAsia" w:hAnsi="Brandon Grotesque Regular" w:cstheme="minorHAnsi"/>
          <w:color w:val="000000" w:themeColor="text1"/>
          <w:sz w:val="22"/>
          <w:szCs w:val="22"/>
          <w:lang w:val="en-GB" w:bidi="ar-SA"/>
        </w:rPr>
        <w:t xml:space="preserve">. </w:t>
      </w:r>
    </w:p>
    <w:p w14:paraId="5F1B23AD" w14:textId="3A162277" w:rsidR="00DA1150" w:rsidRPr="00F408E1" w:rsidRDefault="00DA1150" w:rsidP="00F408E1">
      <w:pPr>
        <w:rPr>
          <w:rFonts w:ascii="Brandon Grotesque Regular" w:eastAsiaTheme="minorEastAsia" w:hAnsi="Brandon Grotesque Regular" w:cstheme="minorHAnsi"/>
          <w:b/>
          <w:bCs/>
          <w:color w:val="000000" w:themeColor="text1"/>
          <w:sz w:val="20"/>
          <w:szCs w:val="20"/>
          <w:highlight w:val="yellow"/>
          <w:lang w:val="en-GB" w:bidi="ar-SA"/>
        </w:rPr>
      </w:pPr>
    </w:p>
    <w:p w14:paraId="745D1C08" w14:textId="7E34EF97" w:rsidR="00C349B6" w:rsidRPr="00F408E1" w:rsidRDefault="00C349B6" w:rsidP="00F408E1">
      <w:pPr>
        <w:spacing w:after="0" w:line="240" w:lineRule="auto"/>
        <w:contextualSpacing/>
        <w:rPr>
          <w:rFonts w:ascii="Brandon Grotesque Regular" w:eastAsiaTheme="minorEastAsia" w:hAnsi="Brandon Grotesque Regular" w:cstheme="minorHAnsi"/>
          <w:b/>
          <w:bCs/>
          <w:caps/>
          <w:color w:val="002060"/>
          <w:spacing w:val="80"/>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t>slide number</w:t>
      </w:r>
      <w:r w:rsidR="00F408E1">
        <w:rPr>
          <w:rFonts w:ascii="Brandon Grotesque Regular" w:eastAsiaTheme="minorEastAsia" w:hAnsi="Brandon Grotesque Regular" w:cstheme="minorHAnsi"/>
          <w:b/>
          <w:bCs/>
          <w:caps/>
          <w:color w:val="002060"/>
          <w:spacing w:val="80"/>
          <w:sz w:val="20"/>
          <w:szCs w:val="20"/>
          <w:lang w:val="en-GB" w:bidi="ar-SA"/>
        </w:rPr>
        <w:t xml:space="preserve"> </w:t>
      </w:r>
      <w:r w:rsidRPr="00F408E1">
        <w:rPr>
          <w:rFonts w:ascii="Brandon Grotesque Regular" w:eastAsiaTheme="minorEastAsia" w:hAnsi="Brandon Grotesque Regular" w:cstheme="minorHAnsi"/>
          <w:b/>
          <w:bCs/>
          <w:caps/>
          <w:color w:val="002060"/>
          <w:spacing w:val="80"/>
          <w:sz w:val="20"/>
          <w:szCs w:val="20"/>
          <w:lang w:val="en-GB" w:bidi="ar-SA"/>
        </w:rPr>
        <w:t>20</w:t>
      </w:r>
    </w:p>
    <w:p w14:paraId="26258A27" w14:textId="77777777" w:rsidR="00DA1150" w:rsidRDefault="00DA1150" w:rsidP="00F408E1">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EB8F960" w14:textId="031D8A12" w:rsidR="00C349B6" w:rsidRPr="00996624" w:rsidRDefault="00DA1150"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The</w:t>
      </w:r>
      <w:r w:rsidR="00C349B6" w:rsidRPr="00996624">
        <w:rPr>
          <w:rFonts w:ascii="Brandon Grotesque Regular" w:eastAsiaTheme="minorEastAsia" w:hAnsi="Brandon Grotesque Regular" w:cstheme="minorHAnsi"/>
          <w:color w:val="000000" w:themeColor="text1"/>
          <w:sz w:val="22"/>
          <w:szCs w:val="22"/>
          <w:lang w:val="en-GB" w:bidi="ar-SA"/>
        </w:rPr>
        <w:t xml:space="preserve"> main movement has been in Loans and Advances which, at $</w:t>
      </w:r>
      <w:r w:rsidR="00D64DF6" w:rsidRPr="00996624">
        <w:rPr>
          <w:rFonts w:ascii="Brandon Grotesque Regular" w:eastAsiaTheme="minorEastAsia" w:hAnsi="Brandon Grotesque Regular" w:cstheme="minorHAnsi"/>
          <w:color w:val="000000" w:themeColor="text1"/>
          <w:sz w:val="22"/>
          <w:szCs w:val="22"/>
          <w:lang w:val="en-GB" w:bidi="ar-SA"/>
        </w:rPr>
        <w:t>15.9</w:t>
      </w:r>
      <w:r w:rsidR="00C349B6" w:rsidRPr="00996624">
        <w:rPr>
          <w:rFonts w:ascii="Brandon Grotesque Regular" w:eastAsiaTheme="minorEastAsia" w:hAnsi="Brandon Grotesque Regular" w:cstheme="minorHAnsi"/>
          <w:color w:val="000000" w:themeColor="text1"/>
          <w:sz w:val="22"/>
          <w:szCs w:val="22"/>
          <w:lang w:val="en-GB" w:bidi="ar-SA"/>
        </w:rPr>
        <w:t xml:space="preserve"> billion at </w:t>
      </w:r>
      <w:r w:rsidR="00D64DF6" w:rsidRPr="00996624">
        <w:rPr>
          <w:rFonts w:ascii="Brandon Grotesque Regular" w:eastAsiaTheme="minorEastAsia" w:hAnsi="Brandon Grotesque Regular" w:cstheme="minorHAnsi"/>
          <w:color w:val="000000" w:themeColor="text1"/>
          <w:sz w:val="22"/>
          <w:szCs w:val="22"/>
          <w:lang w:val="en-GB" w:bidi="ar-SA"/>
        </w:rPr>
        <w:t>June 2025</w:t>
      </w:r>
      <w:r w:rsidR="00C349B6" w:rsidRPr="00996624">
        <w:rPr>
          <w:rFonts w:ascii="Brandon Grotesque Regular" w:eastAsiaTheme="minorEastAsia" w:hAnsi="Brandon Grotesque Regular" w:cstheme="minorHAnsi"/>
          <w:color w:val="000000" w:themeColor="text1"/>
          <w:sz w:val="22"/>
          <w:szCs w:val="22"/>
          <w:lang w:val="en-GB" w:bidi="ar-SA"/>
        </w:rPr>
        <w:t>, h</w:t>
      </w:r>
      <w:r w:rsidR="008B29D8">
        <w:rPr>
          <w:rFonts w:ascii="Brandon Grotesque Regular" w:eastAsiaTheme="minorEastAsia" w:hAnsi="Brandon Grotesque Regular" w:cstheme="minorHAnsi"/>
          <w:color w:val="000000" w:themeColor="text1"/>
          <w:sz w:val="22"/>
          <w:szCs w:val="22"/>
          <w:lang w:val="en-GB" w:bidi="ar-SA"/>
        </w:rPr>
        <w:t>a</w:t>
      </w:r>
      <w:r w:rsidR="00341383">
        <w:rPr>
          <w:rFonts w:ascii="Brandon Grotesque Regular" w:eastAsiaTheme="minorEastAsia" w:hAnsi="Brandon Grotesque Regular" w:cstheme="minorHAnsi"/>
          <w:color w:val="000000" w:themeColor="text1"/>
          <w:sz w:val="22"/>
          <w:szCs w:val="22"/>
          <w:lang w:val="en-GB" w:bidi="ar-SA"/>
        </w:rPr>
        <w:t>ve</w:t>
      </w:r>
      <w:r w:rsidR="00C349B6" w:rsidRPr="00996624">
        <w:rPr>
          <w:rFonts w:ascii="Brandon Grotesque Regular" w:eastAsiaTheme="minorEastAsia" w:hAnsi="Brandon Grotesque Regular" w:cstheme="minorHAnsi"/>
          <w:color w:val="000000" w:themeColor="text1"/>
          <w:sz w:val="22"/>
          <w:szCs w:val="22"/>
          <w:lang w:val="en-GB" w:bidi="ar-SA"/>
        </w:rPr>
        <w:t xml:space="preserve"> followed the movement in AUM, including Whole Loan Sales, net of loan loss provisions.</w:t>
      </w:r>
    </w:p>
    <w:p w14:paraId="0943AE7F" w14:textId="77777777" w:rsidR="00C349B6" w:rsidRPr="00996624" w:rsidRDefault="00C349B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0489F0B8" w14:textId="0135AF1F" w:rsidR="00C349B6" w:rsidRPr="00996624" w:rsidRDefault="00C349B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We originated $</w:t>
      </w:r>
      <w:r w:rsidR="00D64DF6" w:rsidRPr="00996624">
        <w:rPr>
          <w:rFonts w:ascii="Brandon Grotesque Regular" w:eastAsiaTheme="minorEastAsia" w:hAnsi="Brandon Grotesque Regular" w:cstheme="minorHAnsi"/>
          <w:color w:val="000000" w:themeColor="text1"/>
          <w:sz w:val="22"/>
          <w:szCs w:val="22"/>
          <w:lang w:val="en-GB" w:bidi="ar-SA"/>
        </w:rPr>
        <w:t>4.</w:t>
      </w:r>
      <w:r w:rsidR="0023341A">
        <w:rPr>
          <w:rFonts w:ascii="Brandon Grotesque Regular" w:eastAsiaTheme="minorEastAsia" w:hAnsi="Brandon Grotesque Regular" w:cstheme="minorHAnsi"/>
          <w:color w:val="000000" w:themeColor="text1"/>
          <w:sz w:val="22"/>
          <w:szCs w:val="22"/>
          <w:lang w:val="en-GB" w:bidi="ar-SA"/>
        </w:rPr>
        <w:t>5</w:t>
      </w:r>
      <w:r w:rsidRPr="00996624">
        <w:rPr>
          <w:rFonts w:ascii="Brandon Grotesque Regular" w:eastAsiaTheme="minorEastAsia" w:hAnsi="Brandon Grotesque Regular" w:cstheme="minorHAnsi"/>
          <w:color w:val="000000" w:themeColor="text1"/>
          <w:sz w:val="22"/>
          <w:szCs w:val="22"/>
          <w:lang w:val="en-GB" w:bidi="ar-SA"/>
        </w:rPr>
        <w:t xml:space="preserve"> billion in new financial assets over </w:t>
      </w:r>
      <w:r w:rsidR="00D64DF6" w:rsidRPr="00996624">
        <w:rPr>
          <w:rFonts w:ascii="Brandon Grotesque Regular" w:eastAsiaTheme="minorEastAsia" w:hAnsi="Brandon Grotesque Regular" w:cstheme="minorHAnsi"/>
          <w:color w:val="000000" w:themeColor="text1"/>
          <w:sz w:val="22"/>
          <w:szCs w:val="22"/>
          <w:lang w:val="en-GB" w:bidi="ar-SA"/>
        </w:rPr>
        <w:t>the half</w:t>
      </w:r>
      <w:r w:rsidRPr="00996624">
        <w:rPr>
          <w:rFonts w:ascii="Brandon Grotesque Regular" w:eastAsiaTheme="minorEastAsia" w:hAnsi="Brandon Grotesque Regular" w:cstheme="minorHAnsi"/>
          <w:color w:val="000000" w:themeColor="text1"/>
          <w:sz w:val="22"/>
          <w:szCs w:val="22"/>
          <w:lang w:val="en-GB" w:bidi="ar-SA"/>
        </w:rPr>
        <w:t xml:space="preserve"> – asset growth financed by the issuance of </w:t>
      </w:r>
      <w:r w:rsidR="00D64DF6" w:rsidRPr="00996624">
        <w:rPr>
          <w:rFonts w:ascii="Brandon Grotesque Regular" w:eastAsiaTheme="minorEastAsia" w:hAnsi="Brandon Grotesque Regular" w:cstheme="minorHAnsi"/>
          <w:color w:val="000000" w:themeColor="text1"/>
          <w:sz w:val="22"/>
          <w:szCs w:val="22"/>
          <w:lang w:val="en-GB" w:bidi="ar-SA"/>
        </w:rPr>
        <w:t>a</w:t>
      </w:r>
      <w:r w:rsidRPr="00996624">
        <w:rPr>
          <w:rFonts w:ascii="Brandon Grotesque Regular" w:eastAsiaTheme="minorEastAsia" w:hAnsi="Brandon Grotesque Regular" w:cstheme="minorHAnsi"/>
          <w:color w:val="000000" w:themeColor="text1"/>
          <w:sz w:val="22"/>
          <w:szCs w:val="22"/>
          <w:lang w:val="en-GB" w:bidi="ar-SA"/>
        </w:rPr>
        <w:t xml:space="preserve"> Public Term securitisations of $</w:t>
      </w:r>
      <w:r w:rsidR="00D64DF6" w:rsidRPr="00996624">
        <w:rPr>
          <w:rFonts w:ascii="Brandon Grotesque Regular" w:eastAsiaTheme="minorEastAsia" w:hAnsi="Brandon Grotesque Regular" w:cstheme="minorHAnsi"/>
          <w:color w:val="000000" w:themeColor="text1"/>
          <w:sz w:val="22"/>
          <w:szCs w:val="22"/>
          <w:lang w:val="en-GB" w:bidi="ar-SA"/>
        </w:rPr>
        <w:t xml:space="preserve">1.0 </w:t>
      </w:r>
      <w:r w:rsidRPr="00996624">
        <w:rPr>
          <w:rFonts w:ascii="Brandon Grotesque Regular" w:eastAsiaTheme="minorEastAsia" w:hAnsi="Brandon Grotesque Regular" w:cstheme="minorHAnsi"/>
          <w:color w:val="000000" w:themeColor="text1"/>
          <w:sz w:val="22"/>
          <w:szCs w:val="22"/>
          <w:lang w:val="en-GB" w:bidi="ar-SA"/>
        </w:rPr>
        <w:t>billion, and a further $</w:t>
      </w:r>
      <w:r w:rsidR="00D64DF6" w:rsidRPr="00996624">
        <w:rPr>
          <w:rFonts w:ascii="Brandon Grotesque Regular" w:eastAsiaTheme="minorEastAsia" w:hAnsi="Brandon Grotesque Regular" w:cstheme="minorHAnsi"/>
          <w:color w:val="000000" w:themeColor="text1"/>
          <w:sz w:val="22"/>
          <w:szCs w:val="22"/>
          <w:lang w:val="en-GB" w:bidi="ar-SA"/>
        </w:rPr>
        <w:t>1.7</w:t>
      </w:r>
      <w:r w:rsidRPr="00996624">
        <w:rPr>
          <w:rFonts w:ascii="Brandon Grotesque Regular" w:eastAsiaTheme="minorEastAsia" w:hAnsi="Brandon Grotesque Regular" w:cstheme="minorHAnsi"/>
          <w:color w:val="000000" w:themeColor="text1"/>
          <w:sz w:val="22"/>
          <w:szCs w:val="22"/>
          <w:lang w:val="en-GB" w:bidi="ar-SA"/>
        </w:rPr>
        <w:t xml:space="preserve"> billion of Whole Loan Sales.  </w:t>
      </w:r>
    </w:p>
    <w:p w14:paraId="3AE46742" w14:textId="77777777" w:rsidR="00C349B6" w:rsidRPr="00996624" w:rsidRDefault="00C349B6" w:rsidP="00F408E1">
      <w:pPr>
        <w:pStyle w:val="ListParagraph"/>
        <w:autoSpaceDE w:val="0"/>
        <w:autoSpaceDN w:val="0"/>
        <w:adjustRightInd w:val="0"/>
        <w:spacing w:after="0" w:line="240" w:lineRule="auto"/>
        <w:ind w:left="0"/>
        <w:jc w:val="both"/>
        <w:rPr>
          <w:rFonts w:ascii="Brandon Grotesque Regular" w:eastAsiaTheme="minorEastAsia" w:hAnsi="Brandon Grotesque Regular" w:cstheme="minorHAnsi"/>
          <w:color w:val="000000" w:themeColor="text1"/>
          <w:sz w:val="22"/>
          <w:szCs w:val="22"/>
          <w:lang w:val="en-GB" w:bidi="ar-SA"/>
        </w:rPr>
      </w:pPr>
    </w:p>
    <w:p w14:paraId="675A3374" w14:textId="300683A3" w:rsidR="00C349B6" w:rsidRPr="00996624" w:rsidRDefault="00C349B6" w:rsidP="00F408E1">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Given the increase in Mortgage Originations, we increased warehouse capacity to $</w:t>
      </w:r>
      <w:r w:rsidR="00D64DF6" w:rsidRPr="00996624">
        <w:rPr>
          <w:rFonts w:ascii="Brandon Grotesque Regular" w:eastAsiaTheme="minorEastAsia" w:hAnsi="Brandon Grotesque Regular" w:cstheme="minorHAnsi"/>
          <w:color w:val="000000" w:themeColor="text1"/>
          <w:sz w:val="22"/>
          <w:szCs w:val="22"/>
          <w:lang w:val="en-GB" w:bidi="ar-SA"/>
        </w:rPr>
        <w:t>11.5</w:t>
      </w:r>
      <w:r w:rsidRPr="00996624">
        <w:rPr>
          <w:rFonts w:ascii="Brandon Grotesque Regular" w:eastAsiaTheme="minorEastAsia" w:hAnsi="Brandon Grotesque Regular" w:cstheme="minorHAnsi"/>
          <w:color w:val="000000" w:themeColor="text1"/>
          <w:sz w:val="22"/>
          <w:szCs w:val="22"/>
          <w:lang w:val="en-GB" w:bidi="ar-SA"/>
        </w:rPr>
        <w:t xml:space="preserve"> billion over the period, up </w:t>
      </w:r>
      <w:r w:rsidR="00341383">
        <w:rPr>
          <w:rFonts w:ascii="Brandon Grotesque Regular" w:eastAsiaTheme="minorEastAsia" w:hAnsi="Brandon Grotesque Regular" w:cstheme="minorHAnsi"/>
          <w:color w:val="000000" w:themeColor="text1"/>
          <w:sz w:val="22"/>
          <w:szCs w:val="22"/>
          <w:lang w:val="en-GB" w:bidi="ar-SA"/>
        </w:rPr>
        <w:t>$600 million</w:t>
      </w:r>
      <w:r w:rsidR="00D64DF6" w:rsidRPr="00996624">
        <w:rPr>
          <w:rFonts w:ascii="Brandon Grotesque Regular" w:eastAsiaTheme="minorEastAsia" w:hAnsi="Brandon Grotesque Regular" w:cstheme="minorHAnsi"/>
          <w:color w:val="000000" w:themeColor="text1"/>
          <w:sz w:val="22"/>
          <w:szCs w:val="22"/>
          <w:lang w:val="en-GB" w:bidi="ar-SA"/>
        </w:rPr>
        <w:t xml:space="preserve"> from </w:t>
      </w:r>
      <w:r w:rsidRPr="00996624">
        <w:rPr>
          <w:rFonts w:ascii="Brandon Grotesque Regular" w:eastAsiaTheme="minorEastAsia" w:hAnsi="Brandon Grotesque Regular" w:cstheme="minorHAnsi"/>
          <w:color w:val="000000" w:themeColor="text1"/>
          <w:sz w:val="22"/>
          <w:szCs w:val="22"/>
          <w:lang w:val="en-GB" w:bidi="ar-SA"/>
        </w:rPr>
        <w:t>December 202</w:t>
      </w:r>
      <w:r w:rsidR="00D64DF6" w:rsidRPr="00996624">
        <w:rPr>
          <w:rFonts w:ascii="Brandon Grotesque Regular" w:eastAsiaTheme="minorEastAsia" w:hAnsi="Brandon Grotesque Regular" w:cstheme="minorHAnsi"/>
          <w:color w:val="000000" w:themeColor="text1"/>
          <w:sz w:val="22"/>
          <w:szCs w:val="22"/>
          <w:lang w:val="en-GB" w:bidi="ar-SA"/>
        </w:rPr>
        <w:t xml:space="preserve">4. </w:t>
      </w:r>
    </w:p>
    <w:p w14:paraId="0A74D93D" w14:textId="77777777" w:rsidR="00C349B6" w:rsidRPr="00996624" w:rsidRDefault="00C349B6" w:rsidP="00F408E1">
      <w:pPr>
        <w:pStyle w:val="ListParagraph"/>
        <w:autoSpaceDE w:val="0"/>
        <w:autoSpaceDN w:val="0"/>
        <w:adjustRightInd w:val="0"/>
        <w:spacing w:after="0" w:line="240" w:lineRule="auto"/>
        <w:ind w:left="0"/>
        <w:jc w:val="both"/>
        <w:rPr>
          <w:rFonts w:ascii="Brandon Grotesque Regular" w:eastAsiaTheme="minorEastAsia" w:hAnsi="Brandon Grotesque Regular" w:cstheme="minorHAnsi"/>
          <w:color w:val="000000" w:themeColor="text1"/>
          <w:sz w:val="22"/>
          <w:szCs w:val="22"/>
          <w:lang w:val="en-GB" w:bidi="ar-SA"/>
        </w:rPr>
      </w:pPr>
    </w:p>
    <w:p w14:paraId="3FBEA272" w14:textId="3F704373" w:rsidR="00C349B6" w:rsidRPr="00996624" w:rsidRDefault="00C349B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Net Assets </w:t>
      </w:r>
      <w:r w:rsidR="00D64DF6" w:rsidRPr="00996624">
        <w:rPr>
          <w:rFonts w:ascii="Brandon Grotesque Regular" w:eastAsiaTheme="minorEastAsia" w:hAnsi="Brandon Grotesque Regular" w:cstheme="minorHAnsi"/>
          <w:color w:val="000000" w:themeColor="text1"/>
          <w:sz w:val="22"/>
          <w:szCs w:val="22"/>
          <w:lang w:val="en-GB" w:bidi="ar-SA"/>
        </w:rPr>
        <w:t xml:space="preserve">closed the half </w:t>
      </w:r>
      <w:r w:rsidRPr="00996624">
        <w:rPr>
          <w:rFonts w:ascii="Brandon Grotesque Regular" w:eastAsiaTheme="minorEastAsia" w:hAnsi="Brandon Grotesque Regular" w:cstheme="minorHAnsi"/>
          <w:color w:val="000000" w:themeColor="text1"/>
          <w:sz w:val="22"/>
          <w:szCs w:val="22"/>
          <w:lang w:val="en-GB" w:bidi="ar-SA"/>
        </w:rPr>
        <w:t>at $</w:t>
      </w:r>
      <w:r w:rsidR="00D64DF6" w:rsidRPr="00996624">
        <w:rPr>
          <w:rFonts w:ascii="Brandon Grotesque Regular" w:eastAsiaTheme="minorEastAsia" w:hAnsi="Brandon Grotesque Regular" w:cstheme="minorHAnsi"/>
          <w:color w:val="000000" w:themeColor="text1"/>
          <w:sz w:val="22"/>
          <w:szCs w:val="22"/>
          <w:lang w:val="en-GB" w:bidi="ar-SA"/>
        </w:rPr>
        <w:t>777</w:t>
      </w:r>
      <w:r w:rsidRPr="00996624">
        <w:rPr>
          <w:rFonts w:ascii="Brandon Grotesque Regular" w:eastAsiaTheme="minorEastAsia" w:hAnsi="Brandon Grotesque Regular" w:cstheme="minorHAnsi"/>
          <w:color w:val="000000" w:themeColor="text1"/>
          <w:sz w:val="22"/>
          <w:szCs w:val="22"/>
          <w:lang w:val="en-GB" w:bidi="ar-SA"/>
        </w:rPr>
        <w:t xml:space="preserve"> million down from $</w:t>
      </w:r>
      <w:r w:rsidR="00D64DF6" w:rsidRPr="00996624">
        <w:rPr>
          <w:rFonts w:ascii="Brandon Grotesque Regular" w:eastAsiaTheme="minorEastAsia" w:hAnsi="Brandon Grotesque Regular" w:cstheme="minorHAnsi"/>
          <w:color w:val="000000" w:themeColor="text1"/>
          <w:sz w:val="22"/>
          <w:szCs w:val="22"/>
          <w:lang w:val="en-GB" w:bidi="ar-SA"/>
        </w:rPr>
        <w:t>856</w:t>
      </w:r>
      <w:r w:rsidRPr="00996624">
        <w:rPr>
          <w:rFonts w:ascii="Brandon Grotesque Regular" w:eastAsiaTheme="minorEastAsia" w:hAnsi="Brandon Grotesque Regular" w:cstheme="minorHAnsi"/>
          <w:color w:val="000000" w:themeColor="text1"/>
          <w:sz w:val="22"/>
          <w:szCs w:val="22"/>
          <w:lang w:val="en-GB" w:bidi="ar-SA"/>
        </w:rPr>
        <w:t xml:space="preserve"> million </w:t>
      </w:r>
      <w:r w:rsidR="0023341A">
        <w:rPr>
          <w:rFonts w:ascii="Brandon Grotesque Regular" w:eastAsiaTheme="minorEastAsia" w:hAnsi="Brandon Grotesque Regular" w:cstheme="minorHAnsi"/>
          <w:color w:val="000000" w:themeColor="text1"/>
          <w:sz w:val="22"/>
          <w:szCs w:val="22"/>
          <w:lang w:val="en-GB" w:bidi="ar-SA"/>
        </w:rPr>
        <w:t xml:space="preserve">at </w:t>
      </w:r>
      <w:r w:rsidRPr="00996624">
        <w:rPr>
          <w:rFonts w:ascii="Brandon Grotesque Regular" w:eastAsiaTheme="minorEastAsia" w:hAnsi="Brandon Grotesque Regular" w:cstheme="minorHAnsi"/>
          <w:color w:val="000000" w:themeColor="text1"/>
          <w:sz w:val="22"/>
          <w:szCs w:val="22"/>
          <w:lang w:val="en-GB" w:bidi="ar-SA"/>
        </w:rPr>
        <w:t>December 202</w:t>
      </w:r>
      <w:r w:rsidR="00D64DF6" w:rsidRPr="00996624">
        <w:rPr>
          <w:rFonts w:ascii="Brandon Grotesque Regular" w:eastAsiaTheme="minorEastAsia" w:hAnsi="Brandon Grotesque Regular" w:cstheme="minorHAnsi"/>
          <w:color w:val="000000" w:themeColor="text1"/>
          <w:sz w:val="22"/>
          <w:szCs w:val="22"/>
          <w:lang w:val="en-GB" w:bidi="ar-SA"/>
        </w:rPr>
        <w:t>4</w:t>
      </w:r>
      <w:r w:rsidRPr="00996624">
        <w:rPr>
          <w:rFonts w:ascii="Brandon Grotesque Regular" w:eastAsiaTheme="minorEastAsia" w:hAnsi="Brandon Grotesque Regular" w:cstheme="minorHAnsi"/>
          <w:color w:val="000000" w:themeColor="text1"/>
          <w:sz w:val="22"/>
          <w:szCs w:val="22"/>
          <w:lang w:val="en-GB" w:bidi="ar-SA"/>
        </w:rPr>
        <w:t>, given the movement in Loans and Advances</w:t>
      </w:r>
      <w:r w:rsidR="00D64DF6" w:rsidRPr="00996624">
        <w:rPr>
          <w:rFonts w:ascii="Brandon Grotesque Regular" w:eastAsiaTheme="minorEastAsia" w:hAnsi="Brandon Grotesque Regular" w:cstheme="minorHAnsi"/>
          <w:color w:val="000000" w:themeColor="text1"/>
          <w:sz w:val="22"/>
          <w:szCs w:val="22"/>
          <w:lang w:val="en-GB" w:bidi="ar-SA"/>
        </w:rPr>
        <w:t xml:space="preserve">, and after the provision of the Special Dividend </w:t>
      </w:r>
      <w:r w:rsidR="00341383">
        <w:rPr>
          <w:rFonts w:ascii="Brandon Grotesque Regular" w:eastAsiaTheme="minorEastAsia" w:hAnsi="Brandon Grotesque Regular" w:cstheme="minorHAnsi"/>
          <w:color w:val="000000" w:themeColor="text1"/>
          <w:sz w:val="22"/>
          <w:szCs w:val="22"/>
          <w:lang w:val="en-GB" w:bidi="ar-SA"/>
        </w:rPr>
        <w:t xml:space="preserve">which was </w:t>
      </w:r>
      <w:r w:rsidR="00D64DF6" w:rsidRPr="00996624">
        <w:rPr>
          <w:rFonts w:ascii="Brandon Grotesque Regular" w:eastAsiaTheme="minorEastAsia" w:hAnsi="Brandon Grotesque Regular" w:cstheme="minorHAnsi"/>
          <w:color w:val="000000" w:themeColor="text1"/>
          <w:sz w:val="22"/>
          <w:szCs w:val="22"/>
          <w:lang w:val="en-GB" w:bidi="ar-SA"/>
        </w:rPr>
        <w:t xml:space="preserve">paid following </w:t>
      </w:r>
      <w:r w:rsidR="00341383">
        <w:rPr>
          <w:rFonts w:ascii="Brandon Grotesque Regular" w:eastAsiaTheme="minorEastAsia" w:hAnsi="Brandon Grotesque Regular" w:cstheme="minorHAnsi"/>
          <w:color w:val="000000" w:themeColor="text1"/>
          <w:sz w:val="22"/>
          <w:szCs w:val="22"/>
          <w:lang w:val="en-GB" w:bidi="ar-SA"/>
        </w:rPr>
        <w:t xml:space="preserve">June </w:t>
      </w:r>
      <w:r w:rsidR="00D64DF6" w:rsidRPr="00996624">
        <w:rPr>
          <w:rFonts w:ascii="Brandon Grotesque Regular" w:eastAsiaTheme="minorEastAsia" w:hAnsi="Brandon Grotesque Regular" w:cstheme="minorHAnsi"/>
          <w:color w:val="000000" w:themeColor="text1"/>
          <w:sz w:val="22"/>
          <w:szCs w:val="22"/>
          <w:lang w:val="en-GB" w:bidi="ar-SA"/>
        </w:rPr>
        <w:t>close on</w:t>
      </w:r>
      <w:r w:rsidR="00341383">
        <w:rPr>
          <w:rFonts w:ascii="Brandon Grotesque Regular" w:eastAsiaTheme="minorEastAsia" w:hAnsi="Brandon Grotesque Regular" w:cstheme="minorHAnsi"/>
          <w:color w:val="000000" w:themeColor="text1"/>
          <w:sz w:val="22"/>
          <w:szCs w:val="22"/>
          <w:lang w:val="en-GB" w:bidi="ar-SA"/>
        </w:rPr>
        <w:t xml:space="preserve"> the</w:t>
      </w:r>
      <w:r w:rsidR="00D64DF6" w:rsidRPr="00996624">
        <w:rPr>
          <w:rFonts w:ascii="Brandon Grotesque Regular" w:eastAsiaTheme="minorEastAsia" w:hAnsi="Brandon Grotesque Regular" w:cstheme="minorHAnsi"/>
          <w:color w:val="000000" w:themeColor="text1"/>
          <w:sz w:val="22"/>
          <w:szCs w:val="22"/>
          <w:lang w:val="en-GB" w:bidi="ar-SA"/>
        </w:rPr>
        <w:t xml:space="preserve"> 16</w:t>
      </w:r>
      <w:r w:rsidR="00341383" w:rsidRPr="00341383">
        <w:rPr>
          <w:rFonts w:ascii="Brandon Grotesque Regular" w:eastAsiaTheme="minorEastAsia" w:hAnsi="Brandon Grotesque Regular" w:cstheme="minorHAnsi"/>
          <w:color w:val="000000" w:themeColor="text1"/>
          <w:sz w:val="22"/>
          <w:szCs w:val="22"/>
          <w:vertAlign w:val="superscript"/>
          <w:lang w:val="en-GB" w:bidi="ar-SA"/>
        </w:rPr>
        <w:t>th</w:t>
      </w:r>
      <w:r w:rsidR="00341383">
        <w:rPr>
          <w:rFonts w:ascii="Brandon Grotesque Regular" w:eastAsiaTheme="minorEastAsia" w:hAnsi="Brandon Grotesque Regular" w:cstheme="minorHAnsi"/>
          <w:color w:val="000000" w:themeColor="text1"/>
          <w:sz w:val="22"/>
          <w:szCs w:val="22"/>
          <w:lang w:val="en-GB" w:bidi="ar-SA"/>
        </w:rPr>
        <w:t xml:space="preserve"> of</w:t>
      </w:r>
      <w:r w:rsidR="00D64DF6" w:rsidRPr="00996624">
        <w:rPr>
          <w:rFonts w:ascii="Brandon Grotesque Regular" w:eastAsiaTheme="minorEastAsia" w:hAnsi="Brandon Grotesque Regular" w:cstheme="minorHAnsi"/>
          <w:color w:val="000000" w:themeColor="text1"/>
          <w:sz w:val="22"/>
          <w:szCs w:val="22"/>
          <w:lang w:val="en-GB" w:bidi="ar-SA"/>
        </w:rPr>
        <w:t xml:space="preserve"> July 2025</w:t>
      </w:r>
      <w:r w:rsidR="002C680A">
        <w:rPr>
          <w:rFonts w:ascii="Brandon Grotesque Regular" w:eastAsiaTheme="minorEastAsia" w:hAnsi="Brandon Grotesque Regular" w:cstheme="minorHAnsi"/>
          <w:color w:val="000000" w:themeColor="text1"/>
          <w:sz w:val="22"/>
          <w:szCs w:val="22"/>
          <w:lang w:val="en-GB" w:bidi="ar-SA"/>
        </w:rPr>
        <w:t>.</w:t>
      </w:r>
      <w:r w:rsidRPr="00996624">
        <w:rPr>
          <w:rFonts w:ascii="Brandon Grotesque Regular" w:eastAsiaTheme="minorEastAsia" w:hAnsi="Brandon Grotesque Regular" w:cstheme="minorHAnsi"/>
          <w:color w:val="000000" w:themeColor="text1"/>
          <w:sz w:val="22"/>
          <w:szCs w:val="22"/>
          <w:lang w:val="en-GB" w:bidi="ar-SA"/>
        </w:rPr>
        <w:t xml:space="preserve"> </w:t>
      </w:r>
    </w:p>
    <w:p w14:paraId="78C25616" w14:textId="77777777" w:rsidR="00A03679" w:rsidRPr="00996624" w:rsidRDefault="00A03679"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36EFCA6F" w14:textId="4C8FA02E" w:rsidR="00C349B6" w:rsidRDefault="00C349B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Retained earnings reflect the profit delivered by the business, net of dividends paid</w:t>
      </w:r>
      <w:r w:rsidR="00D64DF6" w:rsidRPr="00996624">
        <w:rPr>
          <w:rFonts w:ascii="Brandon Grotesque Regular" w:eastAsiaTheme="minorEastAsia" w:hAnsi="Brandon Grotesque Regular" w:cstheme="minorHAnsi"/>
          <w:color w:val="000000" w:themeColor="text1"/>
          <w:sz w:val="22"/>
          <w:szCs w:val="22"/>
          <w:lang w:val="en-GB" w:bidi="ar-SA"/>
        </w:rPr>
        <w:t>, including the $55.5 million Special Dividend.</w:t>
      </w:r>
      <w:r w:rsidRPr="00996624">
        <w:rPr>
          <w:rFonts w:ascii="Brandon Grotesque Regular" w:eastAsiaTheme="minorEastAsia" w:hAnsi="Brandon Grotesque Regular" w:cstheme="minorHAnsi"/>
          <w:color w:val="000000" w:themeColor="text1"/>
          <w:sz w:val="22"/>
          <w:szCs w:val="22"/>
          <w:lang w:val="en-GB" w:bidi="ar-SA"/>
        </w:rPr>
        <w:t xml:space="preserve"> </w:t>
      </w:r>
    </w:p>
    <w:p w14:paraId="213327B3" w14:textId="77777777" w:rsidR="00F408E1" w:rsidRPr="00996624" w:rsidRDefault="00F408E1"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568111DF" w14:textId="29E94A4C" w:rsidR="00D91096" w:rsidRPr="00F408E1" w:rsidRDefault="00C349B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hAnsi="Brandon Grotesque Regular"/>
          <w:sz w:val="22"/>
          <w:szCs w:val="22"/>
          <w:lang w:val="en-GB" w:bidi="ar-SA"/>
        </w:rPr>
        <w:t xml:space="preserve">Thank you and I will now </w:t>
      </w:r>
      <w:r w:rsidRPr="00F408E1">
        <w:rPr>
          <w:rFonts w:ascii="Brandon Grotesque Regular" w:eastAsiaTheme="minorEastAsia" w:hAnsi="Brandon Grotesque Regular" w:cstheme="minorHAnsi"/>
          <w:color w:val="000000" w:themeColor="text1"/>
          <w:sz w:val="22"/>
          <w:szCs w:val="22"/>
          <w:lang w:val="en-GB" w:bidi="ar-SA"/>
        </w:rPr>
        <w:t>hand back to Mario for closing comments.</w:t>
      </w:r>
    </w:p>
    <w:p w14:paraId="3AB3E5AA" w14:textId="77777777" w:rsidR="00A03679" w:rsidRPr="00A03679" w:rsidRDefault="00A03679" w:rsidP="00F408E1">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482D01F" w14:textId="52917CCD" w:rsidR="00897EF4" w:rsidRPr="00F408E1" w:rsidRDefault="00897EF4" w:rsidP="00F408E1">
      <w:pPr>
        <w:pStyle w:val="ListParagraph"/>
        <w:spacing w:after="0" w:line="240" w:lineRule="auto"/>
        <w:ind w:left="0"/>
        <w:rPr>
          <w:rFonts w:ascii="Brandon Grotesque Regular" w:eastAsiaTheme="minorEastAsia" w:hAnsi="Brandon Grotesque Regular" w:cstheme="minorHAnsi"/>
          <w:b/>
          <w:bCs/>
          <w:color w:val="000000" w:themeColor="text1"/>
          <w:sz w:val="20"/>
          <w:szCs w:val="20"/>
          <w:lang w:val="en-GB" w:bidi="ar-SA"/>
        </w:rPr>
      </w:pPr>
      <w:r w:rsidRPr="00F408E1">
        <w:rPr>
          <w:rFonts w:ascii="Brandon Grotesque Regular" w:eastAsiaTheme="minorEastAsia" w:hAnsi="Brandon Grotesque Regular" w:cstheme="minorHAnsi"/>
          <w:b/>
          <w:bCs/>
          <w:caps/>
          <w:color w:val="002060"/>
          <w:spacing w:val="80"/>
          <w:sz w:val="20"/>
          <w:szCs w:val="20"/>
          <w:lang w:val="en-GB" w:bidi="ar-SA"/>
        </w:rPr>
        <w:lastRenderedPageBreak/>
        <w:t>slide number</w:t>
      </w:r>
      <w:r w:rsidR="00B13B5C" w:rsidRPr="00F408E1">
        <w:rPr>
          <w:rFonts w:ascii="Brandon Grotesque Regular" w:eastAsiaTheme="minorEastAsia" w:hAnsi="Brandon Grotesque Regular" w:cstheme="minorHAnsi"/>
          <w:b/>
          <w:bCs/>
          <w:caps/>
          <w:color w:val="002060"/>
          <w:spacing w:val="80"/>
          <w:sz w:val="20"/>
          <w:szCs w:val="20"/>
          <w:lang w:val="en-GB" w:bidi="ar-SA"/>
        </w:rPr>
        <w:t xml:space="preserve"> </w:t>
      </w:r>
      <w:r w:rsidR="00D64DF6" w:rsidRPr="00F408E1">
        <w:rPr>
          <w:rFonts w:ascii="Brandon Grotesque Regular" w:eastAsiaTheme="minorEastAsia" w:hAnsi="Brandon Grotesque Regular" w:cstheme="minorHAnsi"/>
          <w:b/>
          <w:bCs/>
          <w:caps/>
          <w:color w:val="002060"/>
          <w:spacing w:val="80"/>
          <w:sz w:val="20"/>
          <w:szCs w:val="20"/>
          <w:lang w:val="en-GB" w:bidi="ar-SA"/>
        </w:rPr>
        <w:t>21</w:t>
      </w:r>
    </w:p>
    <w:p w14:paraId="1F9CCF5B" w14:textId="3E145355" w:rsidR="009A3F16" w:rsidRPr="00A03679" w:rsidRDefault="00897EF4" w:rsidP="00F408E1">
      <w:pPr>
        <w:spacing w:after="0" w:line="240" w:lineRule="auto"/>
        <w:contextualSpacing/>
        <w:rPr>
          <w:rFonts w:ascii="Brandon Grotesque Regular" w:eastAsiaTheme="minorEastAsia" w:hAnsi="Brandon Grotesque Regular" w:cstheme="minorHAnsi"/>
          <w:color w:val="000000" w:themeColor="text1"/>
          <w:sz w:val="20"/>
          <w:szCs w:val="20"/>
          <w:highlight w:val="yellow"/>
          <w:lang w:val="en-GB" w:bidi="ar-SA"/>
        </w:rPr>
      </w:pPr>
      <w:r w:rsidRPr="00A03679">
        <w:rPr>
          <w:rFonts w:ascii="Brandon Grotesque Regular" w:eastAsiaTheme="minorEastAsia" w:hAnsi="Brandon Grotesque Regular" w:cstheme="minorHAnsi"/>
          <w:color w:val="000000" w:themeColor="text1"/>
          <w:sz w:val="20"/>
          <w:szCs w:val="20"/>
          <w:highlight w:val="yellow"/>
          <w:lang w:val="en-GB" w:bidi="ar-SA"/>
        </w:rPr>
        <w:t xml:space="preserve"> </w:t>
      </w:r>
    </w:p>
    <w:p w14:paraId="65371521" w14:textId="35A5E7BD" w:rsidR="009A3F16" w:rsidRPr="00996624" w:rsidRDefault="009A3F1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Thanks </w:t>
      </w:r>
      <w:r w:rsidR="00063380" w:rsidRPr="00996624">
        <w:rPr>
          <w:rFonts w:ascii="Brandon Grotesque Regular" w:eastAsiaTheme="minorEastAsia" w:hAnsi="Brandon Grotesque Regular" w:cstheme="minorHAnsi"/>
          <w:color w:val="000000" w:themeColor="text1"/>
          <w:sz w:val="22"/>
          <w:szCs w:val="22"/>
          <w:lang w:val="en-GB" w:bidi="ar-SA"/>
        </w:rPr>
        <w:t>Therese</w:t>
      </w:r>
    </w:p>
    <w:p w14:paraId="0F2423BA" w14:textId="77777777"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00010428" w14:textId="5FC7E91F" w:rsidR="00D64DF6" w:rsidRPr="00996624" w:rsidRDefault="00D64DF6" w:rsidP="00F408E1">
      <w:pPr>
        <w:spacing w:after="0" w:line="240" w:lineRule="auto"/>
        <w:rPr>
          <w:rFonts w:ascii="Brandon Grotesque Regular" w:hAnsi="Brandon Grotesque Regular"/>
          <w:i/>
          <w:iCs/>
          <w:sz w:val="22"/>
          <w:szCs w:val="22"/>
        </w:rPr>
      </w:pPr>
      <w:r w:rsidRPr="00996624">
        <w:rPr>
          <w:rFonts w:ascii="Brandon Grotesque Regular" w:eastAsiaTheme="minorEastAsia" w:hAnsi="Brandon Grotesque Regular" w:cstheme="minorHAnsi"/>
          <w:color w:val="000000" w:themeColor="text1"/>
          <w:sz w:val="22"/>
          <w:szCs w:val="22"/>
          <w:lang w:val="en-GB" w:bidi="ar-SA"/>
        </w:rPr>
        <w:t xml:space="preserve">We have had an amazing start to the year.   We have identified </w:t>
      </w:r>
      <w:r w:rsidR="00267917">
        <w:rPr>
          <w:rFonts w:ascii="Brandon Grotesque Regular" w:eastAsiaTheme="minorEastAsia" w:hAnsi="Brandon Grotesque Regular" w:cstheme="minorHAnsi"/>
          <w:color w:val="000000" w:themeColor="text1"/>
          <w:sz w:val="22"/>
          <w:szCs w:val="22"/>
          <w:lang w:val="en-GB" w:bidi="ar-SA"/>
        </w:rPr>
        <w:t xml:space="preserve">and captured </w:t>
      </w:r>
      <w:r w:rsidRPr="00996624">
        <w:rPr>
          <w:rFonts w:ascii="Brandon Grotesque Regular" w:eastAsiaTheme="minorEastAsia" w:hAnsi="Brandon Grotesque Regular" w:cstheme="minorHAnsi"/>
          <w:color w:val="000000" w:themeColor="text1"/>
          <w:sz w:val="22"/>
          <w:szCs w:val="22"/>
          <w:lang w:val="en-GB" w:bidi="ar-SA"/>
        </w:rPr>
        <w:t>opportunities to grow, as market conditions improved</w:t>
      </w:r>
      <w:r w:rsidR="00267917">
        <w:rPr>
          <w:rFonts w:ascii="Brandon Grotesque Regular" w:eastAsiaTheme="minorEastAsia" w:hAnsi="Brandon Grotesque Regular" w:cstheme="minorHAnsi"/>
          <w:color w:val="000000" w:themeColor="text1"/>
          <w:sz w:val="22"/>
          <w:szCs w:val="22"/>
          <w:lang w:val="en-GB" w:bidi="ar-SA"/>
        </w:rPr>
        <w:t>.</w:t>
      </w:r>
      <w:r w:rsidRPr="00996624">
        <w:rPr>
          <w:rFonts w:ascii="Brandon Grotesque Regular" w:eastAsiaTheme="minorEastAsia" w:hAnsi="Brandon Grotesque Regular" w:cstheme="minorHAnsi"/>
          <w:color w:val="000000" w:themeColor="text1"/>
          <w:sz w:val="22"/>
          <w:szCs w:val="22"/>
          <w:lang w:val="en-GB" w:bidi="ar-SA"/>
        </w:rPr>
        <w:t xml:space="preserve">  We have also achieved a new milestone for the business, with Total AUM breaking through $20 billion, to close 30 June 2025 at $20.1 billion, up 4% on PCP.</w:t>
      </w:r>
    </w:p>
    <w:p w14:paraId="28248F13" w14:textId="77777777"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284A6B67" w14:textId="160BCE7F"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have just seen the RBA start the rate reduction cycle – with </w:t>
      </w:r>
      <w:r w:rsidR="00526E1F">
        <w:rPr>
          <w:rFonts w:ascii="Brandon Grotesque Regular" w:eastAsiaTheme="minorEastAsia" w:hAnsi="Brandon Grotesque Regular" w:cstheme="minorHAnsi"/>
          <w:color w:val="000000" w:themeColor="text1"/>
          <w:sz w:val="22"/>
          <w:szCs w:val="22"/>
          <w:lang w:val="en-GB" w:bidi="ar-SA"/>
        </w:rPr>
        <w:t>3 cuts now delivered in 2025</w:t>
      </w:r>
      <w:r w:rsidRPr="00996624">
        <w:rPr>
          <w:rFonts w:ascii="Brandon Grotesque Regular" w:eastAsiaTheme="minorEastAsia" w:hAnsi="Brandon Grotesque Regular" w:cstheme="minorHAnsi"/>
          <w:color w:val="000000" w:themeColor="text1"/>
          <w:sz w:val="22"/>
          <w:szCs w:val="22"/>
          <w:lang w:val="en-GB" w:bidi="ar-SA"/>
        </w:rPr>
        <w:t xml:space="preserve"> and </w:t>
      </w:r>
      <w:r w:rsidR="00CA71A5">
        <w:rPr>
          <w:rFonts w:ascii="Brandon Grotesque Regular" w:eastAsiaTheme="minorEastAsia" w:hAnsi="Brandon Grotesque Regular" w:cstheme="minorHAnsi"/>
          <w:color w:val="000000" w:themeColor="text1"/>
          <w:sz w:val="22"/>
          <w:szCs w:val="22"/>
          <w:lang w:val="en-GB" w:bidi="ar-SA"/>
        </w:rPr>
        <w:t>there is</w:t>
      </w:r>
      <w:r w:rsidRPr="00996624">
        <w:rPr>
          <w:rFonts w:ascii="Brandon Grotesque Regular" w:eastAsiaTheme="minorEastAsia" w:hAnsi="Brandon Grotesque Regular" w:cstheme="minorHAnsi"/>
          <w:color w:val="000000" w:themeColor="text1"/>
          <w:sz w:val="22"/>
          <w:szCs w:val="22"/>
          <w:lang w:val="en-GB" w:bidi="ar-SA"/>
        </w:rPr>
        <w:t xml:space="preserve"> expectation of further interest rate reductions to come. </w:t>
      </w:r>
    </w:p>
    <w:p w14:paraId="4A070AE3" w14:textId="77777777" w:rsidR="00D64DF6" w:rsidRPr="00A03679" w:rsidRDefault="00D64DF6" w:rsidP="00F408E1">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B397059" w14:textId="5000C93B"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Inflation has</w:t>
      </w:r>
      <w:r w:rsidR="007A54FF">
        <w:rPr>
          <w:rFonts w:ascii="Brandon Grotesque Regular" w:eastAsiaTheme="minorEastAsia" w:hAnsi="Brandon Grotesque Regular" w:cstheme="minorHAnsi"/>
          <w:color w:val="000000" w:themeColor="text1"/>
          <w:sz w:val="22"/>
          <w:szCs w:val="22"/>
          <w:lang w:val="en-GB" w:bidi="ar-SA"/>
        </w:rPr>
        <w:t xml:space="preserve"> </w:t>
      </w:r>
      <w:r w:rsidRPr="00996624">
        <w:rPr>
          <w:rFonts w:ascii="Brandon Grotesque Regular" w:eastAsiaTheme="minorEastAsia" w:hAnsi="Brandon Grotesque Regular" w:cstheme="minorHAnsi"/>
          <w:color w:val="000000" w:themeColor="text1"/>
          <w:sz w:val="22"/>
          <w:szCs w:val="22"/>
          <w:lang w:val="en-GB" w:bidi="ar-SA"/>
        </w:rPr>
        <w:t>moderate</w:t>
      </w:r>
      <w:r w:rsidR="007A54FF">
        <w:rPr>
          <w:rFonts w:ascii="Brandon Grotesque Regular" w:eastAsiaTheme="minorEastAsia" w:hAnsi="Brandon Grotesque Regular" w:cstheme="minorHAnsi"/>
          <w:color w:val="000000" w:themeColor="text1"/>
          <w:sz w:val="22"/>
          <w:szCs w:val="22"/>
          <w:lang w:val="en-GB" w:bidi="ar-SA"/>
        </w:rPr>
        <w:t>d</w:t>
      </w:r>
      <w:r w:rsidRPr="00996624">
        <w:rPr>
          <w:rFonts w:ascii="Brandon Grotesque Regular" w:eastAsiaTheme="minorEastAsia" w:hAnsi="Brandon Grotesque Regular" w:cstheme="minorHAnsi"/>
          <w:color w:val="000000" w:themeColor="text1"/>
          <w:sz w:val="22"/>
          <w:szCs w:val="22"/>
          <w:lang w:val="en-GB" w:bidi="ar-SA"/>
        </w:rPr>
        <w:t xml:space="preserve">. Consumer confidence </w:t>
      </w:r>
      <w:r w:rsidR="007A54FF">
        <w:rPr>
          <w:rFonts w:ascii="Brandon Grotesque Regular" w:eastAsiaTheme="minorEastAsia" w:hAnsi="Brandon Grotesque Regular" w:cstheme="minorHAnsi"/>
          <w:color w:val="000000" w:themeColor="text1"/>
          <w:sz w:val="22"/>
          <w:szCs w:val="22"/>
          <w:lang w:val="en-GB" w:bidi="ar-SA"/>
        </w:rPr>
        <w:t>continues to</w:t>
      </w:r>
      <w:r w:rsidR="004809BB">
        <w:rPr>
          <w:rFonts w:ascii="Brandon Grotesque Regular" w:eastAsiaTheme="minorEastAsia" w:hAnsi="Brandon Grotesque Regular" w:cstheme="minorHAnsi"/>
          <w:color w:val="000000" w:themeColor="text1"/>
          <w:sz w:val="22"/>
          <w:szCs w:val="22"/>
          <w:lang w:val="en-GB" w:bidi="ar-SA"/>
        </w:rPr>
        <w:t xml:space="preserve"> </w:t>
      </w:r>
      <w:r w:rsidRPr="00996624">
        <w:rPr>
          <w:rFonts w:ascii="Brandon Grotesque Regular" w:eastAsiaTheme="minorEastAsia" w:hAnsi="Brandon Grotesque Regular" w:cstheme="minorHAnsi"/>
          <w:color w:val="000000" w:themeColor="text1"/>
          <w:sz w:val="22"/>
          <w:szCs w:val="22"/>
          <w:lang w:val="en-GB" w:bidi="ar-SA"/>
        </w:rPr>
        <w:t xml:space="preserve">improve.  </w:t>
      </w:r>
    </w:p>
    <w:p w14:paraId="3597BD8E" w14:textId="77777777"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69D23EC7" w14:textId="5DFD92A9"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Funding markets have weathered the storms of the last few years, and </w:t>
      </w:r>
      <w:r w:rsidR="003F754F">
        <w:rPr>
          <w:rFonts w:ascii="Brandon Grotesque Regular" w:eastAsiaTheme="minorEastAsia" w:hAnsi="Brandon Grotesque Regular" w:cstheme="minorHAnsi"/>
          <w:color w:val="000000" w:themeColor="text1"/>
          <w:sz w:val="22"/>
          <w:szCs w:val="22"/>
          <w:lang w:val="en-GB" w:bidi="ar-SA"/>
        </w:rPr>
        <w:t xml:space="preserve">we </w:t>
      </w:r>
      <w:r w:rsidRPr="00996624">
        <w:rPr>
          <w:rFonts w:ascii="Brandon Grotesque Regular" w:eastAsiaTheme="minorEastAsia" w:hAnsi="Brandon Grotesque Regular" w:cstheme="minorHAnsi"/>
          <w:color w:val="000000" w:themeColor="text1"/>
          <w:sz w:val="22"/>
          <w:szCs w:val="22"/>
          <w:lang w:val="en-GB" w:bidi="ar-SA"/>
        </w:rPr>
        <w:t>are managing the challenging geopolitical environment exceptionally well</w:t>
      </w:r>
    </w:p>
    <w:p w14:paraId="41BF5A25" w14:textId="77777777"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5E99E685" w14:textId="495A86A3" w:rsidR="00D64DF6" w:rsidRPr="00996624"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I am confident as we move through 2025, that we will continue to capture more opportunities as they become available. </w:t>
      </w:r>
    </w:p>
    <w:p w14:paraId="3650BDD2" w14:textId="045D7B67" w:rsidR="00996624" w:rsidRPr="00996624" w:rsidRDefault="00996624"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We continue to identif</w:t>
      </w:r>
      <w:r w:rsidR="00416A8A">
        <w:rPr>
          <w:rFonts w:ascii="Brandon Grotesque Regular" w:eastAsiaTheme="minorEastAsia" w:hAnsi="Brandon Grotesque Regular" w:cstheme="minorHAnsi"/>
          <w:color w:val="000000" w:themeColor="text1"/>
          <w:sz w:val="22"/>
          <w:szCs w:val="22"/>
          <w:lang w:val="en-GB" w:bidi="ar-SA"/>
        </w:rPr>
        <w:t>y</w:t>
      </w:r>
      <w:r w:rsidRPr="00996624">
        <w:rPr>
          <w:rFonts w:ascii="Brandon Grotesque Regular" w:eastAsiaTheme="minorEastAsia" w:hAnsi="Brandon Grotesque Regular" w:cstheme="minorHAnsi"/>
          <w:color w:val="000000" w:themeColor="text1"/>
          <w:sz w:val="22"/>
          <w:szCs w:val="22"/>
          <w:lang w:val="en-GB" w:bidi="ar-SA"/>
        </w:rPr>
        <w:t xml:space="preserve"> and l</w:t>
      </w:r>
      <w:r w:rsidR="00D64DF6" w:rsidRPr="00996624">
        <w:rPr>
          <w:rFonts w:ascii="Brandon Grotesque Regular" w:eastAsiaTheme="minorEastAsia" w:hAnsi="Brandon Grotesque Regular" w:cstheme="minorHAnsi"/>
          <w:color w:val="000000" w:themeColor="text1"/>
          <w:sz w:val="22"/>
          <w:szCs w:val="22"/>
          <w:lang w:val="en-GB" w:bidi="ar-SA"/>
        </w:rPr>
        <w:t>aunch new products</w:t>
      </w:r>
      <w:r w:rsidR="00CA71A5">
        <w:rPr>
          <w:rFonts w:ascii="Brandon Grotesque Regular" w:eastAsiaTheme="minorEastAsia" w:hAnsi="Brandon Grotesque Regular" w:cstheme="minorHAnsi"/>
          <w:color w:val="000000" w:themeColor="text1"/>
          <w:sz w:val="22"/>
          <w:szCs w:val="22"/>
          <w:lang w:val="en-GB" w:bidi="ar-SA"/>
        </w:rPr>
        <w:t xml:space="preserve"> and policies</w:t>
      </w:r>
      <w:r w:rsidR="00A323AA">
        <w:rPr>
          <w:rFonts w:ascii="Brandon Grotesque Regular" w:eastAsiaTheme="minorEastAsia" w:hAnsi="Brandon Grotesque Regular" w:cstheme="minorHAnsi"/>
          <w:color w:val="000000" w:themeColor="text1"/>
          <w:sz w:val="22"/>
          <w:szCs w:val="22"/>
          <w:lang w:val="en-GB" w:bidi="ar-SA"/>
        </w:rPr>
        <w:t>.</w:t>
      </w:r>
    </w:p>
    <w:p w14:paraId="4402E651" w14:textId="0FD8B336" w:rsidR="00996624" w:rsidRPr="00996624" w:rsidRDefault="00D64DF6"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Our constant investment has delivered scaled technology and process</w:t>
      </w:r>
      <w:r w:rsidR="00AF1C81">
        <w:rPr>
          <w:rFonts w:ascii="Brandon Grotesque Regular" w:eastAsiaTheme="minorEastAsia" w:hAnsi="Brandon Grotesque Regular" w:cstheme="minorHAnsi"/>
          <w:color w:val="000000" w:themeColor="text1"/>
          <w:sz w:val="22"/>
          <w:szCs w:val="22"/>
          <w:lang w:val="en-GB" w:bidi="ar-SA"/>
        </w:rPr>
        <w:t xml:space="preserve"> efficiencies</w:t>
      </w:r>
      <w:r w:rsidR="00A323AA">
        <w:rPr>
          <w:rFonts w:ascii="Brandon Grotesque Regular" w:eastAsiaTheme="minorEastAsia" w:hAnsi="Brandon Grotesque Regular" w:cstheme="minorHAnsi"/>
          <w:color w:val="000000" w:themeColor="text1"/>
          <w:sz w:val="22"/>
          <w:szCs w:val="22"/>
          <w:lang w:val="en-GB" w:bidi="ar-SA"/>
        </w:rPr>
        <w:t>.</w:t>
      </w:r>
    </w:p>
    <w:p w14:paraId="4D407C34" w14:textId="1153BE57" w:rsidR="00996624" w:rsidRPr="00996624" w:rsidRDefault="00996624"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are </w:t>
      </w:r>
      <w:r w:rsidR="00900E0D">
        <w:rPr>
          <w:rFonts w:ascii="Brandon Grotesque Regular" w:eastAsiaTheme="minorEastAsia" w:hAnsi="Brandon Grotesque Regular" w:cstheme="minorHAnsi"/>
          <w:color w:val="000000" w:themeColor="text1"/>
          <w:sz w:val="22"/>
          <w:szCs w:val="22"/>
          <w:lang w:val="en-GB" w:bidi="ar-SA"/>
        </w:rPr>
        <w:t xml:space="preserve">gaining </w:t>
      </w:r>
      <w:r w:rsidR="0054344E">
        <w:rPr>
          <w:rFonts w:ascii="Brandon Grotesque Regular" w:eastAsiaTheme="minorEastAsia" w:hAnsi="Brandon Grotesque Regular" w:cstheme="minorHAnsi"/>
          <w:color w:val="000000" w:themeColor="text1"/>
          <w:sz w:val="22"/>
          <w:szCs w:val="22"/>
          <w:lang w:val="en-GB" w:bidi="ar-SA"/>
        </w:rPr>
        <w:t>on-going</w:t>
      </w:r>
      <w:r w:rsidRPr="00996624">
        <w:rPr>
          <w:rFonts w:ascii="Brandon Grotesque Regular" w:eastAsiaTheme="minorEastAsia" w:hAnsi="Brandon Grotesque Regular" w:cstheme="minorHAnsi"/>
          <w:color w:val="000000" w:themeColor="text1"/>
          <w:sz w:val="22"/>
          <w:szCs w:val="22"/>
          <w:lang w:val="en-GB" w:bidi="ar-SA"/>
        </w:rPr>
        <w:t xml:space="preserve"> benefits from improved customer experience and reducing </w:t>
      </w:r>
      <w:r w:rsidR="003F754F">
        <w:rPr>
          <w:rFonts w:ascii="Brandon Grotesque Regular" w:eastAsiaTheme="minorEastAsia" w:hAnsi="Brandon Grotesque Regular" w:cstheme="minorHAnsi"/>
          <w:color w:val="000000" w:themeColor="text1"/>
          <w:sz w:val="22"/>
          <w:szCs w:val="22"/>
          <w:lang w:val="en-GB" w:bidi="ar-SA"/>
        </w:rPr>
        <w:t xml:space="preserve">our </w:t>
      </w:r>
      <w:r w:rsidRPr="00996624">
        <w:rPr>
          <w:rFonts w:ascii="Brandon Grotesque Regular" w:eastAsiaTheme="minorEastAsia" w:hAnsi="Brandon Grotesque Regular" w:cstheme="minorHAnsi"/>
          <w:color w:val="000000" w:themeColor="text1"/>
          <w:sz w:val="22"/>
          <w:szCs w:val="22"/>
          <w:lang w:val="en-GB" w:bidi="ar-SA"/>
        </w:rPr>
        <w:t xml:space="preserve">cost to serve from our AI </w:t>
      </w:r>
      <w:r w:rsidR="00CA71A5">
        <w:rPr>
          <w:rFonts w:ascii="Brandon Grotesque Regular" w:eastAsiaTheme="minorEastAsia" w:hAnsi="Brandon Grotesque Regular" w:cstheme="minorHAnsi"/>
          <w:color w:val="000000" w:themeColor="text1"/>
          <w:sz w:val="22"/>
          <w:szCs w:val="22"/>
          <w:lang w:val="en-GB" w:bidi="ar-SA"/>
        </w:rPr>
        <w:t xml:space="preserve">and automated process and decisioning </w:t>
      </w:r>
      <w:r w:rsidRPr="00996624">
        <w:rPr>
          <w:rFonts w:ascii="Brandon Grotesque Regular" w:eastAsiaTheme="minorEastAsia" w:hAnsi="Brandon Grotesque Regular" w:cstheme="minorHAnsi"/>
          <w:color w:val="000000" w:themeColor="text1"/>
          <w:sz w:val="22"/>
          <w:szCs w:val="22"/>
          <w:lang w:val="en-GB" w:bidi="ar-SA"/>
        </w:rPr>
        <w:t>strategy</w:t>
      </w:r>
      <w:r w:rsidR="00A323AA">
        <w:rPr>
          <w:rFonts w:ascii="Brandon Grotesque Regular" w:eastAsiaTheme="minorEastAsia" w:hAnsi="Brandon Grotesque Regular" w:cstheme="minorHAnsi"/>
          <w:color w:val="000000" w:themeColor="text1"/>
          <w:sz w:val="22"/>
          <w:szCs w:val="22"/>
          <w:lang w:val="en-GB" w:bidi="ar-SA"/>
        </w:rPr>
        <w:t>.</w:t>
      </w:r>
    </w:p>
    <w:p w14:paraId="4EFCCB2C" w14:textId="77777777" w:rsidR="00996624" w:rsidRPr="00996624" w:rsidRDefault="00D64DF6"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We have sufficient funding headroom available.  We have shown how we are positioned to capitalise on growth as it returns.</w:t>
      </w:r>
      <w:r w:rsidR="00996624" w:rsidRPr="00996624">
        <w:rPr>
          <w:rFonts w:ascii="Brandon Grotesque Regular" w:eastAsiaTheme="minorEastAsia" w:hAnsi="Brandon Grotesque Regular" w:cstheme="minorHAnsi"/>
          <w:color w:val="000000" w:themeColor="text1"/>
          <w:sz w:val="22"/>
          <w:szCs w:val="22"/>
          <w:lang w:val="en-GB" w:bidi="ar-SA"/>
        </w:rPr>
        <w:t xml:space="preserve"> </w:t>
      </w:r>
    </w:p>
    <w:p w14:paraId="4F5839F1" w14:textId="5D905BDB" w:rsidR="00996624" w:rsidRPr="00996624" w:rsidRDefault="00D64DF6"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are diversified, both in terms of the scale </w:t>
      </w:r>
      <w:r w:rsidR="00EE237E">
        <w:rPr>
          <w:rFonts w:ascii="Brandon Grotesque Regular" w:eastAsiaTheme="minorEastAsia" w:hAnsi="Brandon Grotesque Regular" w:cstheme="minorHAnsi"/>
          <w:color w:val="000000" w:themeColor="text1"/>
          <w:sz w:val="22"/>
          <w:szCs w:val="22"/>
          <w:lang w:val="en-GB" w:bidi="ar-SA"/>
        </w:rPr>
        <w:t>from</w:t>
      </w:r>
      <w:r w:rsidRPr="00996624">
        <w:rPr>
          <w:rFonts w:ascii="Brandon Grotesque Regular" w:eastAsiaTheme="minorEastAsia" w:hAnsi="Brandon Grotesque Regular" w:cstheme="minorHAnsi"/>
          <w:color w:val="000000" w:themeColor="text1"/>
          <w:sz w:val="22"/>
          <w:szCs w:val="22"/>
          <w:lang w:val="en-GB" w:bidi="ar-SA"/>
        </w:rPr>
        <w:t xml:space="preserve"> our two-core lending businesses </w:t>
      </w:r>
      <w:r w:rsidR="00EE237E">
        <w:rPr>
          <w:rFonts w:ascii="Brandon Grotesque Regular" w:eastAsiaTheme="minorEastAsia" w:hAnsi="Brandon Grotesque Regular" w:cstheme="minorHAnsi"/>
          <w:color w:val="000000" w:themeColor="text1"/>
          <w:sz w:val="22"/>
          <w:szCs w:val="22"/>
          <w:lang w:val="en-GB" w:bidi="ar-SA"/>
        </w:rPr>
        <w:t>-</w:t>
      </w:r>
      <w:r w:rsidRPr="00996624">
        <w:rPr>
          <w:rFonts w:ascii="Brandon Grotesque Regular" w:eastAsiaTheme="minorEastAsia" w:hAnsi="Brandon Grotesque Regular" w:cstheme="minorHAnsi"/>
          <w:color w:val="000000" w:themeColor="text1"/>
          <w:sz w:val="22"/>
          <w:szCs w:val="22"/>
          <w:lang w:val="en-GB" w:bidi="ar-SA"/>
        </w:rPr>
        <w:t xml:space="preserve"> Mortgages and Asset Finance, as well as the growth from our Loan and Other Servicing business which delivers a capital light annuity style income stream from our Whole Loan Sales strategy. </w:t>
      </w:r>
    </w:p>
    <w:p w14:paraId="7A176C54" w14:textId="17D48753" w:rsidR="00D64DF6" w:rsidRPr="00996624" w:rsidRDefault="00D64DF6" w:rsidP="00F408E1">
      <w:pPr>
        <w:pStyle w:val="ListParagraph"/>
        <w:numPr>
          <w:ilvl w:val="0"/>
          <w:numId w:val="48"/>
        </w:num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 xml:space="preserve">We are disciplined: whether it be how we manage credit, expenses or capital.  We remain, as always, well provisioned. </w:t>
      </w:r>
    </w:p>
    <w:p w14:paraId="28810917" w14:textId="77777777" w:rsidR="00996624" w:rsidRPr="00996624" w:rsidRDefault="00996624"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p>
    <w:p w14:paraId="76AD109F" w14:textId="77AB7535" w:rsidR="00D64DF6" w:rsidRPr="00996624" w:rsidRDefault="00996624"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996624">
        <w:rPr>
          <w:rFonts w:ascii="Brandon Grotesque Regular" w:eastAsiaTheme="minorEastAsia" w:hAnsi="Brandon Grotesque Regular" w:cstheme="minorHAnsi"/>
          <w:color w:val="000000" w:themeColor="text1"/>
          <w:sz w:val="22"/>
          <w:szCs w:val="22"/>
          <w:lang w:val="en-GB" w:bidi="ar-SA"/>
        </w:rPr>
        <w:t>W</w:t>
      </w:r>
      <w:r w:rsidR="00CA71A5">
        <w:rPr>
          <w:rFonts w:ascii="Brandon Grotesque Regular" w:eastAsiaTheme="minorEastAsia" w:hAnsi="Brandon Grotesque Regular" w:cstheme="minorHAnsi"/>
          <w:color w:val="000000" w:themeColor="text1"/>
          <w:sz w:val="22"/>
          <w:szCs w:val="22"/>
          <w:lang w:val="en-GB" w:bidi="ar-SA"/>
        </w:rPr>
        <w:t>ith continued appetite for profitable</w:t>
      </w:r>
      <w:r w:rsidR="009F0C04">
        <w:rPr>
          <w:rFonts w:ascii="Brandon Grotesque Regular" w:eastAsiaTheme="minorEastAsia" w:hAnsi="Brandon Grotesque Regular" w:cstheme="minorHAnsi"/>
          <w:color w:val="000000" w:themeColor="text1"/>
          <w:sz w:val="22"/>
          <w:szCs w:val="22"/>
          <w:lang w:val="en-GB" w:bidi="ar-SA"/>
        </w:rPr>
        <w:t xml:space="preserve"> growth in</w:t>
      </w:r>
      <w:r w:rsidR="00CA71A5">
        <w:rPr>
          <w:rFonts w:ascii="Brandon Grotesque Regular" w:eastAsiaTheme="minorEastAsia" w:hAnsi="Brandon Grotesque Regular" w:cstheme="minorHAnsi"/>
          <w:color w:val="000000" w:themeColor="text1"/>
          <w:sz w:val="22"/>
          <w:szCs w:val="22"/>
          <w:lang w:val="en-GB" w:bidi="ar-SA"/>
        </w:rPr>
        <w:t xml:space="preserve"> originations </w:t>
      </w:r>
      <w:r w:rsidR="009F0C04">
        <w:rPr>
          <w:rFonts w:ascii="Brandon Grotesque Regular" w:eastAsiaTheme="minorEastAsia" w:hAnsi="Brandon Grotesque Regular" w:cstheme="minorHAnsi"/>
          <w:color w:val="000000" w:themeColor="text1"/>
          <w:sz w:val="22"/>
          <w:szCs w:val="22"/>
          <w:lang w:val="en-GB" w:bidi="ar-SA"/>
        </w:rPr>
        <w:t>and</w:t>
      </w:r>
      <w:r w:rsidRPr="00996624">
        <w:rPr>
          <w:rFonts w:ascii="Brandon Grotesque Regular" w:eastAsiaTheme="minorEastAsia" w:hAnsi="Brandon Grotesque Regular" w:cstheme="minorHAnsi"/>
          <w:color w:val="000000" w:themeColor="text1"/>
          <w:sz w:val="22"/>
          <w:szCs w:val="22"/>
          <w:lang w:val="en-GB" w:bidi="ar-SA"/>
        </w:rPr>
        <w:t xml:space="preserve"> $20 billion in </w:t>
      </w:r>
      <w:r w:rsidR="00D64DF6" w:rsidRPr="00996624">
        <w:rPr>
          <w:rFonts w:ascii="Brandon Grotesque Regular" w:eastAsiaTheme="minorEastAsia" w:hAnsi="Brandon Grotesque Regular" w:cstheme="minorHAnsi"/>
          <w:color w:val="000000" w:themeColor="text1"/>
          <w:sz w:val="22"/>
          <w:szCs w:val="22"/>
          <w:lang w:val="en-GB" w:bidi="ar-SA"/>
        </w:rPr>
        <w:t>Assets under Management</w:t>
      </w:r>
      <w:r w:rsidR="009F0C04">
        <w:rPr>
          <w:rFonts w:ascii="Brandon Grotesque Regular" w:eastAsiaTheme="minorEastAsia" w:hAnsi="Brandon Grotesque Regular" w:cstheme="minorHAnsi"/>
          <w:color w:val="000000" w:themeColor="text1"/>
          <w:sz w:val="22"/>
          <w:szCs w:val="22"/>
          <w:lang w:val="en-GB" w:bidi="ar-SA"/>
        </w:rPr>
        <w:t>,</w:t>
      </w:r>
      <w:r w:rsidR="00D64DF6" w:rsidRPr="00996624">
        <w:rPr>
          <w:rFonts w:ascii="Brandon Grotesque Regular" w:eastAsiaTheme="minorEastAsia" w:hAnsi="Brandon Grotesque Regular" w:cstheme="minorHAnsi"/>
          <w:color w:val="000000" w:themeColor="text1"/>
          <w:sz w:val="22"/>
          <w:szCs w:val="22"/>
          <w:lang w:val="en-GB" w:bidi="ar-SA"/>
        </w:rPr>
        <w:t xml:space="preserve"> </w:t>
      </w:r>
      <w:r w:rsidR="009F0C04">
        <w:rPr>
          <w:rFonts w:ascii="Brandon Grotesque Regular" w:eastAsiaTheme="minorEastAsia" w:hAnsi="Brandon Grotesque Regular" w:cstheme="minorHAnsi"/>
          <w:color w:val="000000" w:themeColor="text1"/>
          <w:sz w:val="22"/>
          <w:szCs w:val="22"/>
          <w:lang w:val="en-GB" w:bidi="ar-SA"/>
        </w:rPr>
        <w:t xml:space="preserve">I am confident that we are well positioned for a strong finish </w:t>
      </w:r>
      <w:r w:rsidR="00C60CD3">
        <w:rPr>
          <w:rFonts w:ascii="Brandon Grotesque Regular" w:eastAsiaTheme="minorEastAsia" w:hAnsi="Brandon Grotesque Regular" w:cstheme="minorHAnsi"/>
          <w:color w:val="000000" w:themeColor="text1"/>
          <w:sz w:val="22"/>
          <w:szCs w:val="22"/>
          <w:lang w:val="en-GB" w:bidi="ar-SA"/>
        </w:rPr>
        <w:t>to</w:t>
      </w:r>
      <w:r w:rsidR="009F0C04">
        <w:rPr>
          <w:rFonts w:ascii="Brandon Grotesque Regular" w:eastAsiaTheme="minorEastAsia" w:hAnsi="Brandon Grotesque Regular" w:cstheme="minorHAnsi"/>
          <w:color w:val="000000" w:themeColor="text1"/>
          <w:sz w:val="22"/>
          <w:szCs w:val="22"/>
          <w:lang w:val="en-GB" w:bidi="ar-SA"/>
        </w:rPr>
        <w:t xml:space="preserve"> 2025 and fast start to 2026.</w:t>
      </w:r>
    </w:p>
    <w:p w14:paraId="6863AB88" w14:textId="77777777" w:rsidR="00D64DF6" w:rsidRPr="00996624" w:rsidRDefault="00D64DF6" w:rsidP="00F408E1">
      <w:pPr>
        <w:pStyle w:val="ListParagraph"/>
        <w:spacing w:after="0" w:line="240" w:lineRule="auto"/>
        <w:ind w:left="0"/>
        <w:rPr>
          <w:rFonts w:ascii="Brandon Grotesque Regular" w:eastAsiaTheme="minorEastAsia" w:hAnsi="Brandon Grotesque Regular" w:cstheme="minorHAnsi"/>
          <w:color w:val="000000" w:themeColor="text1"/>
          <w:sz w:val="22"/>
          <w:szCs w:val="22"/>
          <w:lang w:val="en-GB" w:bidi="ar-SA"/>
        </w:rPr>
      </w:pPr>
    </w:p>
    <w:p w14:paraId="5A4CD40F" w14:textId="2F148C85" w:rsidR="008C1B9D" w:rsidRPr="00F408E1" w:rsidRDefault="00D64DF6" w:rsidP="00F408E1">
      <w:pPr>
        <w:spacing w:after="0" w:line="240" w:lineRule="auto"/>
        <w:rPr>
          <w:rFonts w:ascii="Brandon Grotesque Regular" w:eastAsiaTheme="minorEastAsia" w:hAnsi="Brandon Grotesque Regular" w:cstheme="minorHAnsi"/>
          <w:color w:val="000000" w:themeColor="text1"/>
          <w:sz w:val="22"/>
          <w:szCs w:val="22"/>
          <w:lang w:val="en-GB" w:bidi="ar-SA"/>
        </w:rPr>
      </w:pPr>
      <w:r w:rsidRPr="00F408E1">
        <w:rPr>
          <w:rFonts w:ascii="Brandon Grotesque Regular" w:eastAsiaTheme="minorEastAsia" w:hAnsi="Brandon Grotesque Regular" w:cstheme="minorHAnsi"/>
          <w:color w:val="000000" w:themeColor="text1"/>
          <w:sz w:val="22"/>
          <w:szCs w:val="22"/>
          <w:lang w:val="en-GB" w:bidi="ar-SA"/>
        </w:rPr>
        <w:t>Thank you and I will now hand back to the operator for questions.</w:t>
      </w:r>
    </w:p>
    <w:sectPr w:rsidR="008C1B9D" w:rsidRPr="00F408E1" w:rsidSect="00F408E1">
      <w:footerReference w:type="default" r:id="rId8"/>
      <w:pgSz w:w="11906" w:h="16838"/>
      <w:pgMar w:top="993" w:right="1133" w:bottom="426" w:left="1276"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7B86" w14:textId="77777777" w:rsidR="00924E16" w:rsidRDefault="00924E16" w:rsidP="001D4C5C">
      <w:pPr>
        <w:spacing w:after="0" w:line="240" w:lineRule="auto"/>
      </w:pPr>
      <w:r>
        <w:separator/>
      </w:r>
    </w:p>
  </w:endnote>
  <w:endnote w:type="continuationSeparator" w:id="0">
    <w:p w14:paraId="58B375FE" w14:textId="77777777" w:rsidR="00924E16" w:rsidRDefault="00924E16" w:rsidP="001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Regular">
    <w:panose1 w:val="020B0503020203060202"/>
    <w:charset w:val="00"/>
    <w:family w:val="swiss"/>
    <w:notTrueType/>
    <w:pitch w:val="variable"/>
    <w:sig w:usb0="A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redit Suisse Type">
    <w:altName w:val="Calibri"/>
    <w:panose1 w:val="00000000000000000000"/>
    <w:charset w:val="00"/>
    <w:family w:val="swiss"/>
    <w:notTrueType/>
    <w:pitch w:val="default"/>
    <w:sig w:usb0="00000003" w:usb1="00000000" w:usb2="00000000" w:usb3="00000000" w:csb0="00000001" w:csb1="00000000"/>
  </w:font>
  <w:font w:name="Halis R Regular">
    <w:altName w:val="Calibri"/>
    <w:panose1 w:val="02000505040000020004"/>
    <w:charset w:val="00"/>
    <w:family w:val="modern"/>
    <w:notTrueType/>
    <w:pitch w:val="variable"/>
    <w:sig w:usb0="8000002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507665394"/>
      <w:docPartObj>
        <w:docPartGallery w:val="Page Numbers (Bottom of Page)"/>
        <w:docPartUnique/>
      </w:docPartObj>
    </w:sdtPr>
    <w:sdtEndPr>
      <w:rPr>
        <w:noProof/>
      </w:rPr>
    </w:sdtEndPr>
    <w:sdtContent>
      <w:p w14:paraId="7CCCFEC6" w14:textId="22A875BA" w:rsidR="00E12137" w:rsidRPr="00E12137" w:rsidRDefault="00E12137" w:rsidP="00E12137">
        <w:pPr>
          <w:pStyle w:val="Footer"/>
          <w:jc w:val="right"/>
          <w:rPr>
            <w:b/>
            <w:bCs/>
            <w:sz w:val="18"/>
            <w:szCs w:val="18"/>
          </w:rPr>
        </w:pPr>
        <w:r w:rsidRPr="00E12137">
          <w:rPr>
            <w:b/>
            <w:bCs/>
            <w:sz w:val="18"/>
            <w:szCs w:val="18"/>
          </w:rPr>
          <w:fldChar w:fldCharType="begin"/>
        </w:r>
        <w:r w:rsidRPr="00E12137">
          <w:rPr>
            <w:b/>
            <w:bCs/>
            <w:sz w:val="18"/>
            <w:szCs w:val="18"/>
          </w:rPr>
          <w:instrText xml:space="preserve"> PAGE   \* MERGEFORMAT </w:instrText>
        </w:r>
        <w:r w:rsidRPr="00E12137">
          <w:rPr>
            <w:b/>
            <w:bCs/>
            <w:sz w:val="18"/>
            <w:szCs w:val="18"/>
          </w:rPr>
          <w:fldChar w:fldCharType="separate"/>
        </w:r>
        <w:r w:rsidRPr="00E12137">
          <w:rPr>
            <w:b/>
            <w:bCs/>
            <w:noProof/>
            <w:sz w:val="18"/>
            <w:szCs w:val="18"/>
          </w:rPr>
          <w:t>2</w:t>
        </w:r>
        <w:r w:rsidRPr="00E12137">
          <w:rPr>
            <w:b/>
            <w:bCs/>
            <w:noProof/>
            <w:sz w:val="18"/>
            <w:szCs w:val="18"/>
          </w:rPr>
          <w:fldChar w:fldCharType="end"/>
        </w:r>
      </w:p>
    </w:sdtContent>
  </w:sdt>
  <w:p w14:paraId="69DED79C" w14:textId="77777777" w:rsidR="00E12137" w:rsidRDefault="00E1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3B93" w14:textId="77777777" w:rsidR="00924E16" w:rsidRDefault="00924E16" w:rsidP="001D4C5C">
      <w:pPr>
        <w:spacing w:after="0" w:line="240" w:lineRule="auto"/>
      </w:pPr>
      <w:r>
        <w:separator/>
      </w:r>
    </w:p>
  </w:footnote>
  <w:footnote w:type="continuationSeparator" w:id="0">
    <w:p w14:paraId="16C42E53" w14:textId="77777777" w:rsidR="00924E16" w:rsidRDefault="00924E16" w:rsidP="001D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664"/>
    <w:multiLevelType w:val="hybridMultilevel"/>
    <w:tmpl w:val="6672B2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C84F6C"/>
    <w:multiLevelType w:val="hybridMultilevel"/>
    <w:tmpl w:val="72747134"/>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555C2"/>
    <w:multiLevelType w:val="hybridMultilevel"/>
    <w:tmpl w:val="1D92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218E6"/>
    <w:multiLevelType w:val="hybridMultilevel"/>
    <w:tmpl w:val="C35C2542"/>
    <w:lvl w:ilvl="0" w:tplc="EEE465A0">
      <w:start w:val="1"/>
      <w:numFmt w:val="bullet"/>
      <w:pStyle w:val="BodyBullet"/>
      <w:lvlText w:val="l"/>
      <w:lvlJc w:val="left"/>
      <w:pPr>
        <w:ind w:left="720" w:hanging="360"/>
      </w:pPr>
      <w:rPr>
        <w:rFonts w:ascii="Wingdings" w:hAnsi="Wingdings" w:hint="default"/>
        <w:b w:val="0"/>
        <w:i w:val="0"/>
        <w:caps w:val="0"/>
        <w:strike w:val="0"/>
        <w:dstrike w:val="0"/>
        <w:vanish w:val="0"/>
        <w:webHidden w:val="0"/>
        <w:color w:val="003366"/>
        <w:sz w:val="12"/>
        <w:u w:val="none"/>
        <w:effect w:val="none"/>
        <w:vertAlign w:val="baseli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24725E"/>
    <w:multiLevelType w:val="hybridMultilevel"/>
    <w:tmpl w:val="0F6C119C"/>
    <w:lvl w:ilvl="0" w:tplc="90325B0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8F7D6E"/>
    <w:multiLevelType w:val="hybridMultilevel"/>
    <w:tmpl w:val="7F4CEECA"/>
    <w:lvl w:ilvl="0" w:tplc="DDD03090">
      <w:start w:val="1"/>
      <w:numFmt w:val="bullet"/>
      <w:lvlText w:val=""/>
      <w:lvlJc w:val="left"/>
      <w:pPr>
        <w:ind w:left="720" w:hanging="360"/>
      </w:pPr>
      <w:rPr>
        <w:rFonts w:ascii="Symbol" w:hAnsi="Symbol" w:hint="default"/>
        <w:b w:val="0"/>
        <w:bCs/>
        <w:i w:val="0"/>
        <w:caps w:val="0"/>
        <w:strike w:val="0"/>
        <w:dstrike w:val="0"/>
        <w:vanish w:val="0"/>
        <w:color w:val="auto"/>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D523D"/>
    <w:multiLevelType w:val="hybridMultilevel"/>
    <w:tmpl w:val="8BF49328"/>
    <w:lvl w:ilvl="0" w:tplc="4FDE4A2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C294E"/>
    <w:multiLevelType w:val="hybridMultilevel"/>
    <w:tmpl w:val="84D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45380"/>
    <w:multiLevelType w:val="hybridMultilevel"/>
    <w:tmpl w:val="5106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B3058"/>
    <w:multiLevelType w:val="hybridMultilevel"/>
    <w:tmpl w:val="A94412A6"/>
    <w:lvl w:ilvl="0" w:tplc="A4B2F23C">
      <w:start w:val="1"/>
      <w:numFmt w:val="bullet"/>
      <w:lvlText w:val="o"/>
      <w:lvlJc w:val="left"/>
      <w:pPr>
        <w:ind w:left="1496" w:hanging="360"/>
      </w:pPr>
      <w:rPr>
        <w:rFonts w:ascii="Courier New" w:hAnsi="Courier New" w:hint="default"/>
        <w:b w:val="0"/>
        <w:i w:val="0"/>
        <w:caps w:val="0"/>
        <w:strike w:val="0"/>
        <w:dstrike w:val="0"/>
        <w:vanish w:val="0"/>
        <w:color w:val="4472C4" w:themeColor="accent1"/>
        <w:sz w:val="18"/>
        <w:vertAlign w:val="baseline"/>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0" w15:restartNumberingAfterBreak="0">
    <w:nsid w:val="2834101D"/>
    <w:multiLevelType w:val="hybridMultilevel"/>
    <w:tmpl w:val="CC5EE8AE"/>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26AA0"/>
    <w:multiLevelType w:val="hybridMultilevel"/>
    <w:tmpl w:val="B0B8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93F7F"/>
    <w:multiLevelType w:val="hybridMultilevel"/>
    <w:tmpl w:val="7E724B66"/>
    <w:lvl w:ilvl="0" w:tplc="FFFFFFFF">
      <w:start w:val="1"/>
      <w:numFmt w:val="bullet"/>
      <w:lvlText w:val=""/>
      <w:lvlJc w:val="left"/>
      <w:pPr>
        <w:ind w:left="720" w:hanging="360"/>
      </w:pPr>
      <w:rPr>
        <w:rFonts w:ascii="Symbol" w:hAnsi="Symbol" w:hint="default"/>
        <w:sz w:val="16"/>
      </w:rPr>
    </w:lvl>
    <w:lvl w:ilvl="1" w:tplc="0C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490D83"/>
    <w:multiLevelType w:val="hybridMultilevel"/>
    <w:tmpl w:val="C1F681B8"/>
    <w:lvl w:ilvl="0" w:tplc="8EE0A49C">
      <w:start w:val="1"/>
      <w:numFmt w:val="bullet"/>
      <w:lvlText w:val=""/>
      <w:lvlJc w:val="left"/>
      <w:pPr>
        <w:ind w:left="360" w:hanging="360"/>
      </w:pPr>
      <w:rPr>
        <w:rFonts w:ascii="Symbol" w:hAnsi="Symbol" w:hint="default"/>
        <w:sz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495900"/>
    <w:multiLevelType w:val="hybridMultilevel"/>
    <w:tmpl w:val="18D27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D978DB"/>
    <w:multiLevelType w:val="hybridMultilevel"/>
    <w:tmpl w:val="37900BE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520B87"/>
    <w:multiLevelType w:val="hybridMultilevel"/>
    <w:tmpl w:val="944A82BE"/>
    <w:lvl w:ilvl="0" w:tplc="85A47D48">
      <w:numFmt w:val="bullet"/>
      <w:lvlText w:val="-"/>
      <w:lvlJc w:val="left"/>
      <w:pPr>
        <w:ind w:left="720" w:hanging="360"/>
      </w:pPr>
      <w:rPr>
        <w:rFonts w:ascii="Brandon Grotesque Regular" w:eastAsiaTheme="minorEastAsia" w:hAnsi="Brandon Grotesque Regular"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5B3C2B"/>
    <w:multiLevelType w:val="hybridMultilevel"/>
    <w:tmpl w:val="E3F4C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B56AC"/>
    <w:multiLevelType w:val="hybridMultilevel"/>
    <w:tmpl w:val="78B054CC"/>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80696"/>
    <w:multiLevelType w:val="hybridMultilevel"/>
    <w:tmpl w:val="BA3C36E4"/>
    <w:lvl w:ilvl="0" w:tplc="8EE0A49C">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7E7377"/>
    <w:multiLevelType w:val="hybridMultilevel"/>
    <w:tmpl w:val="FBF6966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8436610"/>
    <w:multiLevelType w:val="hybridMultilevel"/>
    <w:tmpl w:val="5AAE5AF0"/>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14EC5"/>
    <w:multiLevelType w:val="hybridMultilevel"/>
    <w:tmpl w:val="7ACEA4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E6257"/>
    <w:multiLevelType w:val="hybridMultilevel"/>
    <w:tmpl w:val="C918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7320C"/>
    <w:multiLevelType w:val="hybridMultilevel"/>
    <w:tmpl w:val="8BAE0DA6"/>
    <w:lvl w:ilvl="0" w:tplc="837A4A9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869E5"/>
    <w:multiLevelType w:val="hybridMultilevel"/>
    <w:tmpl w:val="08A4E9B8"/>
    <w:lvl w:ilvl="0" w:tplc="8EE0A49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511EF1"/>
    <w:multiLevelType w:val="hybridMultilevel"/>
    <w:tmpl w:val="6B24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40EA5"/>
    <w:multiLevelType w:val="hybridMultilevel"/>
    <w:tmpl w:val="1DFEFE82"/>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CC5F51"/>
    <w:multiLevelType w:val="hybridMultilevel"/>
    <w:tmpl w:val="88A469DA"/>
    <w:lvl w:ilvl="0" w:tplc="837A4A9A">
      <w:start w:val="1"/>
      <w:numFmt w:val="bullet"/>
      <w:lvlText w:val="o"/>
      <w:lvlJc w:val="left"/>
      <w:pPr>
        <w:ind w:left="1272" w:hanging="360"/>
      </w:pPr>
      <w:rPr>
        <w:rFonts w:ascii="Courier New" w:hAnsi="Courier New" w:hint="default"/>
        <w:sz w:val="16"/>
      </w:rPr>
    </w:lvl>
    <w:lvl w:ilvl="1" w:tplc="FFFFFFFF" w:tentative="1">
      <w:start w:val="1"/>
      <w:numFmt w:val="bullet"/>
      <w:lvlText w:val="o"/>
      <w:lvlJc w:val="left"/>
      <w:pPr>
        <w:ind w:left="1992" w:hanging="360"/>
      </w:pPr>
      <w:rPr>
        <w:rFonts w:ascii="Courier New" w:hAnsi="Courier New" w:cs="Courier New" w:hint="default"/>
      </w:rPr>
    </w:lvl>
    <w:lvl w:ilvl="2" w:tplc="FFFFFFFF" w:tentative="1">
      <w:start w:val="1"/>
      <w:numFmt w:val="bullet"/>
      <w:lvlText w:val=""/>
      <w:lvlJc w:val="left"/>
      <w:pPr>
        <w:ind w:left="2712" w:hanging="360"/>
      </w:pPr>
      <w:rPr>
        <w:rFonts w:ascii="Wingdings" w:hAnsi="Wingdings" w:hint="default"/>
      </w:rPr>
    </w:lvl>
    <w:lvl w:ilvl="3" w:tplc="FFFFFFFF" w:tentative="1">
      <w:start w:val="1"/>
      <w:numFmt w:val="bullet"/>
      <w:lvlText w:val=""/>
      <w:lvlJc w:val="left"/>
      <w:pPr>
        <w:ind w:left="3432" w:hanging="360"/>
      </w:pPr>
      <w:rPr>
        <w:rFonts w:ascii="Symbol" w:hAnsi="Symbol" w:hint="default"/>
      </w:rPr>
    </w:lvl>
    <w:lvl w:ilvl="4" w:tplc="FFFFFFFF" w:tentative="1">
      <w:start w:val="1"/>
      <w:numFmt w:val="bullet"/>
      <w:lvlText w:val="o"/>
      <w:lvlJc w:val="left"/>
      <w:pPr>
        <w:ind w:left="4152" w:hanging="360"/>
      </w:pPr>
      <w:rPr>
        <w:rFonts w:ascii="Courier New" w:hAnsi="Courier New" w:cs="Courier New" w:hint="default"/>
      </w:rPr>
    </w:lvl>
    <w:lvl w:ilvl="5" w:tplc="FFFFFFFF" w:tentative="1">
      <w:start w:val="1"/>
      <w:numFmt w:val="bullet"/>
      <w:lvlText w:val=""/>
      <w:lvlJc w:val="left"/>
      <w:pPr>
        <w:ind w:left="4872" w:hanging="360"/>
      </w:pPr>
      <w:rPr>
        <w:rFonts w:ascii="Wingdings" w:hAnsi="Wingdings" w:hint="default"/>
      </w:rPr>
    </w:lvl>
    <w:lvl w:ilvl="6" w:tplc="FFFFFFFF" w:tentative="1">
      <w:start w:val="1"/>
      <w:numFmt w:val="bullet"/>
      <w:lvlText w:val=""/>
      <w:lvlJc w:val="left"/>
      <w:pPr>
        <w:ind w:left="5592" w:hanging="360"/>
      </w:pPr>
      <w:rPr>
        <w:rFonts w:ascii="Symbol" w:hAnsi="Symbol" w:hint="default"/>
      </w:rPr>
    </w:lvl>
    <w:lvl w:ilvl="7" w:tplc="FFFFFFFF" w:tentative="1">
      <w:start w:val="1"/>
      <w:numFmt w:val="bullet"/>
      <w:lvlText w:val="o"/>
      <w:lvlJc w:val="left"/>
      <w:pPr>
        <w:ind w:left="6312" w:hanging="360"/>
      </w:pPr>
      <w:rPr>
        <w:rFonts w:ascii="Courier New" w:hAnsi="Courier New" w:cs="Courier New" w:hint="default"/>
      </w:rPr>
    </w:lvl>
    <w:lvl w:ilvl="8" w:tplc="FFFFFFFF" w:tentative="1">
      <w:start w:val="1"/>
      <w:numFmt w:val="bullet"/>
      <w:lvlText w:val=""/>
      <w:lvlJc w:val="left"/>
      <w:pPr>
        <w:ind w:left="7032" w:hanging="360"/>
      </w:pPr>
      <w:rPr>
        <w:rFonts w:ascii="Wingdings" w:hAnsi="Wingdings" w:hint="default"/>
      </w:rPr>
    </w:lvl>
  </w:abstractNum>
  <w:abstractNum w:abstractNumId="29" w15:restartNumberingAfterBreak="0">
    <w:nsid w:val="5D060485"/>
    <w:multiLevelType w:val="hybridMultilevel"/>
    <w:tmpl w:val="C92E9D1A"/>
    <w:lvl w:ilvl="0" w:tplc="837A4A9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761311"/>
    <w:multiLevelType w:val="hybridMultilevel"/>
    <w:tmpl w:val="693239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B1415"/>
    <w:multiLevelType w:val="hybridMultilevel"/>
    <w:tmpl w:val="2A2C2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0B42BC"/>
    <w:multiLevelType w:val="hybridMultilevel"/>
    <w:tmpl w:val="82F46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7D3437"/>
    <w:multiLevelType w:val="hybridMultilevel"/>
    <w:tmpl w:val="18B07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EC6C76"/>
    <w:multiLevelType w:val="hybridMultilevel"/>
    <w:tmpl w:val="70586B9E"/>
    <w:lvl w:ilvl="0" w:tplc="1DC0BEFA">
      <w:start w:val="1"/>
      <w:numFmt w:val="bullet"/>
      <w:lvlText w:val=""/>
      <w:lvlJc w:val="left"/>
      <w:pPr>
        <w:ind w:left="107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0D3ED0"/>
    <w:multiLevelType w:val="hybridMultilevel"/>
    <w:tmpl w:val="3F481F4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30783E"/>
    <w:multiLevelType w:val="hybridMultilevel"/>
    <w:tmpl w:val="4D0296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170842"/>
    <w:multiLevelType w:val="hybridMultilevel"/>
    <w:tmpl w:val="F70C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D7943"/>
    <w:multiLevelType w:val="hybridMultilevel"/>
    <w:tmpl w:val="4DA424E4"/>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FF43951"/>
    <w:multiLevelType w:val="hybridMultilevel"/>
    <w:tmpl w:val="49EEA864"/>
    <w:lvl w:ilvl="0" w:tplc="849A9D72">
      <w:start w:val="1"/>
      <w:numFmt w:val="bullet"/>
      <w:lvlText w:val=""/>
      <w:lvlJc w:val="left"/>
      <w:pPr>
        <w:ind w:left="1272" w:hanging="360"/>
      </w:pPr>
      <w:rPr>
        <w:rFonts w:ascii="Symbol" w:hAnsi="Symbol" w:hint="default"/>
        <w:sz w:val="16"/>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40" w15:restartNumberingAfterBreak="0">
    <w:nsid w:val="72B7146A"/>
    <w:multiLevelType w:val="hybridMultilevel"/>
    <w:tmpl w:val="BC000428"/>
    <w:lvl w:ilvl="0" w:tplc="837A4A9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235451"/>
    <w:multiLevelType w:val="hybridMultilevel"/>
    <w:tmpl w:val="FF9A44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3637E31"/>
    <w:multiLevelType w:val="hybridMultilevel"/>
    <w:tmpl w:val="DA0A3E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7B7790"/>
    <w:multiLevelType w:val="hybridMultilevel"/>
    <w:tmpl w:val="60A408F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B93FAB"/>
    <w:multiLevelType w:val="hybridMultilevel"/>
    <w:tmpl w:val="67D4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0B672F"/>
    <w:multiLevelType w:val="hybridMultilevel"/>
    <w:tmpl w:val="EB268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B71B88"/>
    <w:multiLevelType w:val="hybridMultilevel"/>
    <w:tmpl w:val="3252028C"/>
    <w:lvl w:ilvl="0" w:tplc="0882C79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C25C46"/>
    <w:multiLevelType w:val="hybridMultilevel"/>
    <w:tmpl w:val="6548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8582950">
    <w:abstractNumId w:val="3"/>
  </w:num>
  <w:num w:numId="2" w16cid:durableId="334378105">
    <w:abstractNumId w:val="21"/>
  </w:num>
  <w:num w:numId="3" w16cid:durableId="1864855317">
    <w:abstractNumId w:val="20"/>
  </w:num>
  <w:num w:numId="4" w16cid:durableId="29692671">
    <w:abstractNumId w:val="35"/>
  </w:num>
  <w:num w:numId="5" w16cid:durableId="902377007">
    <w:abstractNumId w:val="36"/>
  </w:num>
  <w:num w:numId="6" w16cid:durableId="2100245709">
    <w:abstractNumId w:val="33"/>
  </w:num>
  <w:num w:numId="7" w16cid:durableId="809976110">
    <w:abstractNumId w:val="22"/>
  </w:num>
  <w:num w:numId="8" w16cid:durableId="1518151426">
    <w:abstractNumId w:val="19"/>
  </w:num>
  <w:num w:numId="9" w16cid:durableId="1407142090">
    <w:abstractNumId w:val="11"/>
  </w:num>
  <w:num w:numId="10" w16cid:durableId="804084239">
    <w:abstractNumId w:val="18"/>
  </w:num>
  <w:num w:numId="11" w16cid:durableId="1323702090">
    <w:abstractNumId w:val="10"/>
  </w:num>
  <w:num w:numId="12" w16cid:durableId="1636330242">
    <w:abstractNumId w:val="1"/>
  </w:num>
  <w:num w:numId="13" w16cid:durableId="1828785041">
    <w:abstractNumId w:val="27"/>
  </w:num>
  <w:num w:numId="14" w16cid:durableId="312681127">
    <w:abstractNumId w:val="8"/>
  </w:num>
  <w:num w:numId="15" w16cid:durableId="259224101">
    <w:abstractNumId w:val="43"/>
  </w:num>
  <w:num w:numId="16" w16cid:durableId="1531451650">
    <w:abstractNumId w:val="38"/>
  </w:num>
  <w:num w:numId="17" w16cid:durableId="777410584">
    <w:abstractNumId w:val="34"/>
  </w:num>
  <w:num w:numId="18" w16cid:durableId="1562983763">
    <w:abstractNumId w:val="25"/>
  </w:num>
  <w:num w:numId="19" w16cid:durableId="1536651416">
    <w:abstractNumId w:val="26"/>
  </w:num>
  <w:num w:numId="20" w16cid:durableId="1412121076">
    <w:abstractNumId w:val="47"/>
  </w:num>
  <w:num w:numId="21" w16cid:durableId="758410102">
    <w:abstractNumId w:val="23"/>
  </w:num>
  <w:num w:numId="22" w16cid:durableId="1736657213">
    <w:abstractNumId w:val="42"/>
  </w:num>
  <w:num w:numId="23" w16cid:durableId="1852525368">
    <w:abstractNumId w:val="45"/>
  </w:num>
  <w:num w:numId="24" w16cid:durableId="851144649">
    <w:abstractNumId w:val="12"/>
  </w:num>
  <w:num w:numId="25" w16cid:durableId="1581914399">
    <w:abstractNumId w:val="30"/>
  </w:num>
  <w:num w:numId="26" w16cid:durableId="1932272201">
    <w:abstractNumId w:val="46"/>
  </w:num>
  <w:num w:numId="27" w16cid:durableId="921988394">
    <w:abstractNumId w:val="14"/>
  </w:num>
  <w:num w:numId="28" w16cid:durableId="1907954104">
    <w:abstractNumId w:val="31"/>
  </w:num>
  <w:num w:numId="29" w16cid:durableId="1899045967">
    <w:abstractNumId w:val="4"/>
  </w:num>
  <w:num w:numId="30" w16cid:durableId="1681926163">
    <w:abstractNumId w:val="9"/>
  </w:num>
  <w:num w:numId="31" w16cid:durableId="396319281">
    <w:abstractNumId w:val="13"/>
  </w:num>
  <w:num w:numId="32" w16cid:durableId="779304859">
    <w:abstractNumId w:val="24"/>
  </w:num>
  <w:num w:numId="33" w16cid:durableId="1640382831">
    <w:abstractNumId w:val="40"/>
  </w:num>
  <w:num w:numId="34" w16cid:durableId="646279260">
    <w:abstractNumId w:val="6"/>
  </w:num>
  <w:num w:numId="35" w16cid:durableId="1074279107">
    <w:abstractNumId w:val="32"/>
  </w:num>
  <w:num w:numId="36" w16cid:durableId="1847089845">
    <w:abstractNumId w:val="5"/>
  </w:num>
  <w:num w:numId="37" w16cid:durableId="938025006">
    <w:abstractNumId w:val="15"/>
  </w:num>
  <w:num w:numId="38" w16cid:durableId="1698314506">
    <w:abstractNumId w:val="44"/>
  </w:num>
  <w:num w:numId="39" w16cid:durableId="64643084">
    <w:abstractNumId w:val="37"/>
  </w:num>
  <w:num w:numId="40" w16cid:durableId="814219505">
    <w:abstractNumId w:val="2"/>
  </w:num>
  <w:num w:numId="41" w16cid:durableId="991369743">
    <w:abstractNumId w:val="41"/>
  </w:num>
  <w:num w:numId="42" w16cid:durableId="1828089420">
    <w:abstractNumId w:val="7"/>
  </w:num>
  <w:num w:numId="43" w16cid:durableId="371419269">
    <w:abstractNumId w:val="0"/>
  </w:num>
  <w:num w:numId="44" w16cid:durableId="569267972">
    <w:abstractNumId w:val="39"/>
  </w:num>
  <w:num w:numId="45" w16cid:durableId="1705134266">
    <w:abstractNumId w:val="28"/>
  </w:num>
  <w:num w:numId="46" w16cid:durableId="1264148334">
    <w:abstractNumId w:val="17"/>
  </w:num>
  <w:num w:numId="47" w16cid:durableId="2069381482">
    <w:abstractNumId w:val="16"/>
  </w:num>
  <w:num w:numId="48" w16cid:durableId="3100493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B"/>
    <w:rsid w:val="0000299A"/>
    <w:rsid w:val="000033A8"/>
    <w:rsid w:val="000039B5"/>
    <w:rsid w:val="00004760"/>
    <w:rsid w:val="000049F8"/>
    <w:rsid w:val="000051C7"/>
    <w:rsid w:val="00007726"/>
    <w:rsid w:val="00012CCA"/>
    <w:rsid w:val="000139E2"/>
    <w:rsid w:val="00014621"/>
    <w:rsid w:val="00014938"/>
    <w:rsid w:val="00017E82"/>
    <w:rsid w:val="00020A04"/>
    <w:rsid w:val="00020FCF"/>
    <w:rsid w:val="000255D5"/>
    <w:rsid w:val="000264A7"/>
    <w:rsid w:val="000312D6"/>
    <w:rsid w:val="00032264"/>
    <w:rsid w:val="000333B0"/>
    <w:rsid w:val="00033EE8"/>
    <w:rsid w:val="00034AEA"/>
    <w:rsid w:val="00034D1E"/>
    <w:rsid w:val="00034F65"/>
    <w:rsid w:val="00035705"/>
    <w:rsid w:val="00037B91"/>
    <w:rsid w:val="00037C25"/>
    <w:rsid w:val="00040BBA"/>
    <w:rsid w:val="00040FD2"/>
    <w:rsid w:val="0004350B"/>
    <w:rsid w:val="000439F5"/>
    <w:rsid w:val="00044078"/>
    <w:rsid w:val="00044A04"/>
    <w:rsid w:val="00053763"/>
    <w:rsid w:val="00055C78"/>
    <w:rsid w:val="00055DE2"/>
    <w:rsid w:val="000571D9"/>
    <w:rsid w:val="00057973"/>
    <w:rsid w:val="00061B66"/>
    <w:rsid w:val="00063380"/>
    <w:rsid w:val="00070155"/>
    <w:rsid w:val="00070E5A"/>
    <w:rsid w:val="00073425"/>
    <w:rsid w:val="000754CC"/>
    <w:rsid w:val="00083842"/>
    <w:rsid w:val="00083B68"/>
    <w:rsid w:val="00084264"/>
    <w:rsid w:val="000850FB"/>
    <w:rsid w:val="00085F26"/>
    <w:rsid w:val="00087F78"/>
    <w:rsid w:val="00090DC7"/>
    <w:rsid w:val="000924CA"/>
    <w:rsid w:val="0009265A"/>
    <w:rsid w:val="00094CAC"/>
    <w:rsid w:val="000A2462"/>
    <w:rsid w:val="000A3309"/>
    <w:rsid w:val="000A3894"/>
    <w:rsid w:val="000A4ABB"/>
    <w:rsid w:val="000A6D11"/>
    <w:rsid w:val="000A7979"/>
    <w:rsid w:val="000B0D75"/>
    <w:rsid w:val="000B1DE2"/>
    <w:rsid w:val="000B2F57"/>
    <w:rsid w:val="000B30E0"/>
    <w:rsid w:val="000B7EDB"/>
    <w:rsid w:val="000C03FE"/>
    <w:rsid w:val="000C0A10"/>
    <w:rsid w:val="000C0C8C"/>
    <w:rsid w:val="000C0DBE"/>
    <w:rsid w:val="000C15AD"/>
    <w:rsid w:val="000C1DB6"/>
    <w:rsid w:val="000C3801"/>
    <w:rsid w:val="000C4D3F"/>
    <w:rsid w:val="000C6FDA"/>
    <w:rsid w:val="000D3020"/>
    <w:rsid w:val="000D631D"/>
    <w:rsid w:val="000E0652"/>
    <w:rsid w:val="000E147B"/>
    <w:rsid w:val="000E21D5"/>
    <w:rsid w:val="000E2B16"/>
    <w:rsid w:val="000E3D4B"/>
    <w:rsid w:val="000E6C11"/>
    <w:rsid w:val="000E6CD4"/>
    <w:rsid w:val="000E7BB1"/>
    <w:rsid w:val="000F0851"/>
    <w:rsid w:val="000F09DF"/>
    <w:rsid w:val="000F0F9E"/>
    <w:rsid w:val="000F1463"/>
    <w:rsid w:val="000F344B"/>
    <w:rsid w:val="000F3487"/>
    <w:rsid w:val="000F3C4C"/>
    <w:rsid w:val="000F4064"/>
    <w:rsid w:val="000F4D8A"/>
    <w:rsid w:val="000F7620"/>
    <w:rsid w:val="000F7DD5"/>
    <w:rsid w:val="00100DB2"/>
    <w:rsid w:val="00101830"/>
    <w:rsid w:val="00102232"/>
    <w:rsid w:val="001039CF"/>
    <w:rsid w:val="00103EC0"/>
    <w:rsid w:val="00104905"/>
    <w:rsid w:val="0010503C"/>
    <w:rsid w:val="001110C2"/>
    <w:rsid w:val="00111532"/>
    <w:rsid w:val="00111E42"/>
    <w:rsid w:val="00111F01"/>
    <w:rsid w:val="001126CE"/>
    <w:rsid w:val="00114E18"/>
    <w:rsid w:val="0011541F"/>
    <w:rsid w:val="00115926"/>
    <w:rsid w:val="0011660B"/>
    <w:rsid w:val="001177F4"/>
    <w:rsid w:val="00120151"/>
    <w:rsid w:val="00121827"/>
    <w:rsid w:val="0012198D"/>
    <w:rsid w:val="00121BCF"/>
    <w:rsid w:val="001224A2"/>
    <w:rsid w:val="00122848"/>
    <w:rsid w:val="0012299F"/>
    <w:rsid w:val="0012343F"/>
    <w:rsid w:val="00123C08"/>
    <w:rsid w:val="00126740"/>
    <w:rsid w:val="001301C8"/>
    <w:rsid w:val="001303AF"/>
    <w:rsid w:val="00130A89"/>
    <w:rsid w:val="0013229E"/>
    <w:rsid w:val="001329DD"/>
    <w:rsid w:val="00133A83"/>
    <w:rsid w:val="001341BD"/>
    <w:rsid w:val="00136837"/>
    <w:rsid w:val="00142D9D"/>
    <w:rsid w:val="00146BDB"/>
    <w:rsid w:val="00147028"/>
    <w:rsid w:val="001471F6"/>
    <w:rsid w:val="001475AA"/>
    <w:rsid w:val="00152E08"/>
    <w:rsid w:val="001535F2"/>
    <w:rsid w:val="0015374B"/>
    <w:rsid w:val="001560AC"/>
    <w:rsid w:val="0015684A"/>
    <w:rsid w:val="0015697D"/>
    <w:rsid w:val="00156E5D"/>
    <w:rsid w:val="00157023"/>
    <w:rsid w:val="00157AF6"/>
    <w:rsid w:val="00160417"/>
    <w:rsid w:val="00160D35"/>
    <w:rsid w:val="001616C8"/>
    <w:rsid w:val="00161896"/>
    <w:rsid w:val="00163042"/>
    <w:rsid w:val="00163476"/>
    <w:rsid w:val="001645C3"/>
    <w:rsid w:val="001660A7"/>
    <w:rsid w:val="00167179"/>
    <w:rsid w:val="00170EBE"/>
    <w:rsid w:val="0017127E"/>
    <w:rsid w:val="001714F8"/>
    <w:rsid w:val="00171962"/>
    <w:rsid w:val="00173F93"/>
    <w:rsid w:val="00174030"/>
    <w:rsid w:val="00174549"/>
    <w:rsid w:val="00175218"/>
    <w:rsid w:val="00180562"/>
    <w:rsid w:val="00180686"/>
    <w:rsid w:val="00185D08"/>
    <w:rsid w:val="00186881"/>
    <w:rsid w:val="00186EDE"/>
    <w:rsid w:val="00187383"/>
    <w:rsid w:val="001904A0"/>
    <w:rsid w:val="00190B4C"/>
    <w:rsid w:val="00192CE6"/>
    <w:rsid w:val="001931F8"/>
    <w:rsid w:val="00193746"/>
    <w:rsid w:val="0019401C"/>
    <w:rsid w:val="00194143"/>
    <w:rsid w:val="00196242"/>
    <w:rsid w:val="00197302"/>
    <w:rsid w:val="00197C86"/>
    <w:rsid w:val="00197D88"/>
    <w:rsid w:val="001A1AE7"/>
    <w:rsid w:val="001A201A"/>
    <w:rsid w:val="001A42E4"/>
    <w:rsid w:val="001A4D7D"/>
    <w:rsid w:val="001A5172"/>
    <w:rsid w:val="001A5B7F"/>
    <w:rsid w:val="001A5F5E"/>
    <w:rsid w:val="001A737C"/>
    <w:rsid w:val="001B0BA1"/>
    <w:rsid w:val="001B10FA"/>
    <w:rsid w:val="001B49AD"/>
    <w:rsid w:val="001B4DD4"/>
    <w:rsid w:val="001B5485"/>
    <w:rsid w:val="001B73B6"/>
    <w:rsid w:val="001C1D72"/>
    <w:rsid w:val="001C1DB4"/>
    <w:rsid w:val="001C4022"/>
    <w:rsid w:val="001C56AC"/>
    <w:rsid w:val="001C5BC7"/>
    <w:rsid w:val="001C61E6"/>
    <w:rsid w:val="001C6C73"/>
    <w:rsid w:val="001D071F"/>
    <w:rsid w:val="001D23B0"/>
    <w:rsid w:val="001D2C9A"/>
    <w:rsid w:val="001D3DD4"/>
    <w:rsid w:val="001D3E34"/>
    <w:rsid w:val="001D4C5C"/>
    <w:rsid w:val="001D534C"/>
    <w:rsid w:val="001E0F87"/>
    <w:rsid w:val="001E1CD4"/>
    <w:rsid w:val="001E4B87"/>
    <w:rsid w:val="001E79B8"/>
    <w:rsid w:val="001F0424"/>
    <w:rsid w:val="001F2AD3"/>
    <w:rsid w:val="001F3051"/>
    <w:rsid w:val="001F3BB2"/>
    <w:rsid w:val="001F4C9F"/>
    <w:rsid w:val="001F56BC"/>
    <w:rsid w:val="001F7321"/>
    <w:rsid w:val="00200F67"/>
    <w:rsid w:val="0020139D"/>
    <w:rsid w:val="0020228C"/>
    <w:rsid w:val="0020323A"/>
    <w:rsid w:val="00204724"/>
    <w:rsid w:val="002048C0"/>
    <w:rsid w:val="002063BA"/>
    <w:rsid w:val="00207002"/>
    <w:rsid w:val="00207628"/>
    <w:rsid w:val="0021356A"/>
    <w:rsid w:val="00214203"/>
    <w:rsid w:val="0021481F"/>
    <w:rsid w:val="00215FB1"/>
    <w:rsid w:val="00216028"/>
    <w:rsid w:val="002171E2"/>
    <w:rsid w:val="00220615"/>
    <w:rsid w:val="00220825"/>
    <w:rsid w:val="00221C1A"/>
    <w:rsid w:val="0022370A"/>
    <w:rsid w:val="00223BA6"/>
    <w:rsid w:val="00225074"/>
    <w:rsid w:val="00226DA4"/>
    <w:rsid w:val="002276E2"/>
    <w:rsid w:val="0023030F"/>
    <w:rsid w:val="00232170"/>
    <w:rsid w:val="0023341A"/>
    <w:rsid w:val="0023476D"/>
    <w:rsid w:val="002355F8"/>
    <w:rsid w:val="002365AA"/>
    <w:rsid w:val="002406F6"/>
    <w:rsid w:val="002444AD"/>
    <w:rsid w:val="002452AA"/>
    <w:rsid w:val="00245619"/>
    <w:rsid w:val="00246004"/>
    <w:rsid w:val="002466C5"/>
    <w:rsid w:val="002470E9"/>
    <w:rsid w:val="0024797A"/>
    <w:rsid w:val="0025035A"/>
    <w:rsid w:val="00250810"/>
    <w:rsid w:val="00251385"/>
    <w:rsid w:val="0025151F"/>
    <w:rsid w:val="00253198"/>
    <w:rsid w:val="002601B4"/>
    <w:rsid w:val="002603A0"/>
    <w:rsid w:val="00263391"/>
    <w:rsid w:val="00267058"/>
    <w:rsid w:val="00267917"/>
    <w:rsid w:val="002706A1"/>
    <w:rsid w:val="00270C2C"/>
    <w:rsid w:val="00272A94"/>
    <w:rsid w:val="00272F75"/>
    <w:rsid w:val="0027376D"/>
    <w:rsid w:val="002765BC"/>
    <w:rsid w:val="00276A05"/>
    <w:rsid w:val="00280362"/>
    <w:rsid w:val="00281505"/>
    <w:rsid w:val="00281DC3"/>
    <w:rsid w:val="00282908"/>
    <w:rsid w:val="00283B80"/>
    <w:rsid w:val="00284F1A"/>
    <w:rsid w:val="00285A6C"/>
    <w:rsid w:val="00286701"/>
    <w:rsid w:val="00286820"/>
    <w:rsid w:val="00286A44"/>
    <w:rsid w:val="00287350"/>
    <w:rsid w:val="00287666"/>
    <w:rsid w:val="002900C8"/>
    <w:rsid w:val="00291D3F"/>
    <w:rsid w:val="002949CE"/>
    <w:rsid w:val="00294EAE"/>
    <w:rsid w:val="002967FC"/>
    <w:rsid w:val="002979B7"/>
    <w:rsid w:val="002A2366"/>
    <w:rsid w:val="002A23E5"/>
    <w:rsid w:val="002A26BA"/>
    <w:rsid w:val="002A3428"/>
    <w:rsid w:val="002A366A"/>
    <w:rsid w:val="002A511B"/>
    <w:rsid w:val="002A6561"/>
    <w:rsid w:val="002A67D4"/>
    <w:rsid w:val="002A7105"/>
    <w:rsid w:val="002B2BAA"/>
    <w:rsid w:val="002B3D91"/>
    <w:rsid w:val="002C05F0"/>
    <w:rsid w:val="002C680A"/>
    <w:rsid w:val="002D173B"/>
    <w:rsid w:val="002D30B7"/>
    <w:rsid w:val="002D431C"/>
    <w:rsid w:val="002D4321"/>
    <w:rsid w:val="002D5988"/>
    <w:rsid w:val="002D778F"/>
    <w:rsid w:val="002E0ED3"/>
    <w:rsid w:val="002E122C"/>
    <w:rsid w:val="002E24AB"/>
    <w:rsid w:val="002E2FCA"/>
    <w:rsid w:val="002E481D"/>
    <w:rsid w:val="002E4DC5"/>
    <w:rsid w:val="002E71AB"/>
    <w:rsid w:val="002E7A10"/>
    <w:rsid w:val="002F0F32"/>
    <w:rsid w:val="002F1907"/>
    <w:rsid w:val="002F23F6"/>
    <w:rsid w:val="002F785B"/>
    <w:rsid w:val="002F7A1F"/>
    <w:rsid w:val="00301401"/>
    <w:rsid w:val="00301B6A"/>
    <w:rsid w:val="00302515"/>
    <w:rsid w:val="0031051B"/>
    <w:rsid w:val="003118AB"/>
    <w:rsid w:val="00311AA8"/>
    <w:rsid w:val="00312917"/>
    <w:rsid w:val="00313C35"/>
    <w:rsid w:val="00313EF6"/>
    <w:rsid w:val="00315E70"/>
    <w:rsid w:val="00317F77"/>
    <w:rsid w:val="00320D5D"/>
    <w:rsid w:val="00321A4E"/>
    <w:rsid w:val="00324418"/>
    <w:rsid w:val="00325655"/>
    <w:rsid w:val="00326126"/>
    <w:rsid w:val="003275F2"/>
    <w:rsid w:val="003303F0"/>
    <w:rsid w:val="00331786"/>
    <w:rsid w:val="0033469B"/>
    <w:rsid w:val="00334F86"/>
    <w:rsid w:val="003361F3"/>
    <w:rsid w:val="00336B8A"/>
    <w:rsid w:val="00337346"/>
    <w:rsid w:val="00340697"/>
    <w:rsid w:val="00341383"/>
    <w:rsid w:val="003419E2"/>
    <w:rsid w:val="00343CF2"/>
    <w:rsid w:val="00345742"/>
    <w:rsid w:val="00346531"/>
    <w:rsid w:val="00346BFC"/>
    <w:rsid w:val="003475E4"/>
    <w:rsid w:val="00351D2A"/>
    <w:rsid w:val="003521E0"/>
    <w:rsid w:val="00353441"/>
    <w:rsid w:val="00353864"/>
    <w:rsid w:val="00354008"/>
    <w:rsid w:val="003552BA"/>
    <w:rsid w:val="00355F0B"/>
    <w:rsid w:val="00360DD1"/>
    <w:rsid w:val="00362E35"/>
    <w:rsid w:val="00364B30"/>
    <w:rsid w:val="00365372"/>
    <w:rsid w:val="00366E56"/>
    <w:rsid w:val="003677FB"/>
    <w:rsid w:val="003703CC"/>
    <w:rsid w:val="00372A02"/>
    <w:rsid w:val="00374381"/>
    <w:rsid w:val="003744D6"/>
    <w:rsid w:val="00377A4B"/>
    <w:rsid w:val="003810B0"/>
    <w:rsid w:val="00381115"/>
    <w:rsid w:val="00383752"/>
    <w:rsid w:val="00383C08"/>
    <w:rsid w:val="00384155"/>
    <w:rsid w:val="003844A7"/>
    <w:rsid w:val="00385A94"/>
    <w:rsid w:val="00387888"/>
    <w:rsid w:val="0039212E"/>
    <w:rsid w:val="003929B5"/>
    <w:rsid w:val="003955D5"/>
    <w:rsid w:val="00395BAD"/>
    <w:rsid w:val="00396BD7"/>
    <w:rsid w:val="003979CE"/>
    <w:rsid w:val="00397E1D"/>
    <w:rsid w:val="003A129D"/>
    <w:rsid w:val="003A185C"/>
    <w:rsid w:val="003A2AB5"/>
    <w:rsid w:val="003A3D8D"/>
    <w:rsid w:val="003B23B3"/>
    <w:rsid w:val="003B31D7"/>
    <w:rsid w:val="003B3EDF"/>
    <w:rsid w:val="003B5813"/>
    <w:rsid w:val="003B5895"/>
    <w:rsid w:val="003B628D"/>
    <w:rsid w:val="003B6A43"/>
    <w:rsid w:val="003B77CE"/>
    <w:rsid w:val="003C1A63"/>
    <w:rsid w:val="003C2A8B"/>
    <w:rsid w:val="003C2FD6"/>
    <w:rsid w:val="003C3247"/>
    <w:rsid w:val="003C4877"/>
    <w:rsid w:val="003C7F90"/>
    <w:rsid w:val="003D0085"/>
    <w:rsid w:val="003D177B"/>
    <w:rsid w:val="003D3F83"/>
    <w:rsid w:val="003D4FBC"/>
    <w:rsid w:val="003E0A7F"/>
    <w:rsid w:val="003E14AB"/>
    <w:rsid w:val="003E3C04"/>
    <w:rsid w:val="003E45D6"/>
    <w:rsid w:val="003E6E59"/>
    <w:rsid w:val="003E73F9"/>
    <w:rsid w:val="003F0267"/>
    <w:rsid w:val="003F1FDC"/>
    <w:rsid w:val="003F519D"/>
    <w:rsid w:val="003F5E9D"/>
    <w:rsid w:val="003F6A64"/>
    <w:rsid w:val="003F754F"/>
    <w:rsid w:val="0040256B"/>
    <w:rsid w:val="00402B58"/>
    <w:rsid w:val="00403AF4"/>
    <w:rsid w:val="00403F78"/>
    <w:rsid w:val="00406151"/>
    <w:rsid w:val="004064E8"/>
    <w:rsid w:val="004065D0"/>
    <w:rsid w:val="004067A6"/>
    <w:rsid w:val="00407E90"/>
    <w:rsid w:val="00412859"/>
    <w:rsid w:val="00413785"/>
    <w:rsid w:val="00416A8A"/>
    <w:rsid w:val="00416F9D"/>
    <w:rsid w:val="004178CA"/>
    <w:rsid w:val="00417E84"/>
    <w:rsid w:val="00417EF0"/>
    <w:rsid w:val="004209C6"/>
    <w:rsid w:val="0042254F"/>
    <w:rsid w:val="0042395F"/>
    <w:rsid w:val="0042576A"/>
    <w:rsid w:val="0042600F"/>
    <w:rsid w:val="0043237B"/>
    <w:rsid w:val="004343BF"/>
    <w:rsid w:val="004352B2"/>
    <w:rsid w:val="00437A3D"/>
    <w:rsid w:val="00437EB2"/>
    <w:rsid w:val="00437FE7"/>
    <w:rsid w:val="0044177C"/>
    <w:rsid w:val="004455D7"/>
    <w:rsid w:val="00446428"/>
    <w:rsid w:val="00446676"/>
    <w:rsid w:val="004466A8"/>
    <w:rsid w:val="0044684A"/>
    <w:rsid w:val="00451603"/>
    <w:rsid w:val="00451825"/>
    <w:rsid w:val="004564CC"/>
    <w:rsid w:val="0046283C"/>
    <w:rsid w:val="0046287E"/>
    <w:rsid w:val="004637DC"/>
    <w:rsid w:val="004640B7"/>
    <w:rsid w:val="004670D5"/>
    <w:rsid w:val="00470404"/>
    <w:rsid w:val="00470E4B"/>
    <w:rsid w:val="0047212A"/>
    <w:rsid w:val="004726C2"/>
    <w:rsid w:val="00473636"/>
    <w:rsid w:val="00473F64"/>
    <w:rsid w:val="0047493C"/>
    <w:rsid w:val="0047641A"/>
    <w:rsid w:val="0047772F"/>
    <w:rsid w:val="00477ECA"/>
    <w:rsid w:val="004809BB"/>
    <w:rsid w:val="00481BC1"/>
    <w:rsid w:val="004826D9"/>
    <w:rsid w:val="004831B2"/>
    <w:rsid w:val="00484885"/>
    <w:rsid w:val="00484A38"/>
    <w:rsid w:val="00490FF8"/>
    <w:rsid w:val="0049206E"/>
    <w:rsid w:val="004929F3"/>
    <w:rsid w:val="00494B4C"/>
    <w:rsid w:val="004973B8"/>
    <w:rsid w:val="0049744E"/>
    <w:rsid w:val="00497E84"/>
    <w:rsid w:val="004A00F9"/>
    <w:rsid w:val="004A0AC9"/>
    <w:rsid w:val="004A0B9F"/>
    <w:rsid w:val="004A2370"/>
    <w:rsid w:val="004A35BC"/>
    <w:rsid w:val="004A521B"/>
    <w:rsid w:val="004A57D8"/>
    <w:rsid w:val="004A78F4"/>
    <w:rsid w:val="004B08FD"/>
    <w:rsid w:val="004B192B"/>
    <w:rsid w:val="004B2759"/>
    <w:rsid w:val="004B2BAF"/>
    <w:rsid w:val="004B468D"/>
    <w:rsid w:val="004B5BF0"/>
    <w:rsid w:val="004B5E95"/>
    <w:rsid w:val="004B6817"/>
    <w:rsid w:val="004B6BE0"/>
    <w:rsid w:val="004B7394"/>
    <w:rsid w:val="004C04F9"/>
    <w:rsid w:val="004C2E53"/>
    <w:rsid w:val="004C417B"/>
    <w:rsid w:val="004C49CA"/>
    <w:rsid w:val="004C5B99"/>
    <w:rsid w:val="004C7046"/>
    <w:rsid w:val="004C7626"/>
    <w:rsid w:val="004C7806"/>
    <w:rsid w:val="004D0CC1"/>
    <w:rsid w:val="004D0CCF"/>
    <w:rsid w:val="004D2109"/>
    <w:rsid w:val="004D59B7"/>
    <w:rsid w:val="004E1A47"/>
    <w:rsid w:val="004E1C51"/>
    <w:rsid w:val="004E4479"/>
    <w:rsid w:val="004E7D57"/>
    <w:rsid w:val="004F3ED4"/>
    <w:rsid w:val="004F65E5"/>
    <w:rsid w:val="0050127B"/>
    <w:rsid w:val="00501612"/>
    <w:rsid w:val="005019C1"/>
    <w:rsid w:val="00503406"/>
    <w:rsid w:val="005049C5"/>
    <w:rsid w:val="0050523F"/>
    <w:rsid w:val="005079D4"/>
    <w:rsid w:val="00511D9D"/>
    <w:rsid w:val="00515F8B"/>
    <w:rsid w:val="00516942"/>
    <w:rsid w:val="00516C1E"/>
    <w:rsid w:val="00517494"/>
    <w:rsid w:val="00521337"/>
    <w:rsid w:val="0052224B"/>
    <w:rsid w:val="00522BEA"/>
    <w:rsid w:val="00522D26"/>
    <w:rsid w:val="00523B41"/>
    <w:rsid w:val="00525FBE"/>
    <w:rsid w:val="00526E1F"/>
    <w:rsid w:val="00530848"/>
    <w:rsid w:val="0053167F"/>
    <w:rsid w:val="0053348F"/>
    <w:rsid w:val="00533878"/>
    <w:rsid w:val="00533DB8"/>
    <w:rsid w:val="00535D32"/>
    <w:rsid w:val="00537624"/>
    <w:rsid w:val="00542A72"/>
    <w:rsid w:val="005433D0"/>
    <w:rsid w:val="0054344E"/>
    <w:rsid w:val="00543CC6"/>
    <w:rsid w:val="00545FB4"/>
    <w:rsid w:val="00550324"/>
    <w:rsid w:val="005508FD"/>
    <w:rsid w:val="00550CD0"/>
    <w:rsid w:val="00551DCE"/>
    <w:rsid w:val="00552571"/>
    <w:rsid w:val="005551DA"/>
    <w:rsid w:val="00555743"/>
    <w:rsid w:val="0055594E"/>
    <w:rsid w:val="00555C18"/>
    <w:rsid w:val="00557017"/>
    <w:rsid w:val="00557B5A"/>
    <w:rsid w:val="00560B6F"/>
    <w:rsid w:val="00560B7B"/>
    <w:rsid w:val="005618BA"/>
    <w:rsid w:val="005624DE"/>
    <w:rsid w:val="005643C7"/>
    <w:rsid w:val="005650ED"/>
    <w:rsid w:val="005662E9"/>
    <w:rsid w:val="00572A35"/>
    <w:rsid w:val="00574F84"/>
    <w:rsid w:val="00575A28"/>
    <w:rsid w:val="0057742C"/>
    <w:rsid w:val="00580271"/>
    <w:rsid w:val="00581390"/>
    <w:rsid w:val="00581797"/>
    <w:rsid w:val="00581E77"/>
    <w:rsid w:val="00583686"/>
    <w:rsid w:val="00584286"/>
    <w:rsid w:val="005854CA"/>
    <w:rsid w:val="00585A28"/>
    <w:rsid w:val="00586D0A"/>
    <w:rsid w:val="005905BA"/>
    <w:rsid w:val="00590C99"/>
    <w:rsid w:val="00591E61"/>
    <w:rsid w:val="00593393"/>
    <w:rsid w:val="005933F6"/>
    <w:rsid w:val="00594D08"/>
    <w:rsid w:val="005952C3"/>
    <w:rsid w:val="00595A87"/>
    <w:rsid w:val="00597E5C"/>
    <w:rsid w:val="005A0BB1"/>
    <w:rsid w:val="005A11E1"/>
    <w:rsid w:val="005A1864"/>
    <w:rsid w:val="005A1AF2"/>
    <w:rsid w:val="005A591D"/>
    <w:rsid w:val="005A6A20"/>
    <w:rsid w:val="005A6F4A"/>
    <w:rsid w:val="005B069A"/>
    <w:rsid w:val="005B2393"/>
    <w:rsid w:val="005B2833"/>
    <w:rsid w:val="005B3662"/>
    <w:rsid w:val="005B3AF0"/>
    <w:rsid w:val="005B4317"/>
    <w:rsid w:val="005B4E9A"/>
    <w:rsid w:val="005C0EE0"/>
    <w:rsid w:val="005C1989"/>
    <w:rsid w:val="005C1992"/>
    <w:rsid w:val="005C3374"/>
    <w:rsid w:val="005C651F"/>
    <w:rsid w:val="005C668B"/>
    <w:rsid w:val="005C7AEB"/>
    <w:rsid w:val="005D12FA"/>
    <w:rsid w:val="005D24D8"/>
    <w:rsid w:val="005D29D2"/>
    <w:rsid w:val="005D3227"/>
    <w:rsid w:val="005D3B68"/>
    <w:rsid w:val="005D4224"/>
    <w:rsid w:val="005D464A"/>
    <w:rsid w:val="005D4D02"/>
    <w:rsid w:val="005D6E69"/>
    <w:rsid w:val="005E1792"/>
    <w:rsid w:val="005E2AA0"/>
    <w:rsid w:val="005E54D7"/>
    <w:rsid w:val="005E6352"/>
    <w:rsid w:val="005E68D8"/>
    <w:rsid w:val="005E6EDF"/>
    <w:rsid w:val="005F057B"/>
    <w:rsid w:val="005F1F86"/>
    <w:rsid w:val="005F2831"/>
    <w:rsid w:val="005F48FA"/>
    <w:rsid w:val="005F4FAE"/>
    <w:rsid w:val="005F52AF"/>
    <w:rsid w:val="005F6413"/>
    <w:rsid w:val="005F650D"/>
    <w:rsid w:val="006002C4"/>
    <w:rsid w:val="0060031C"/>
    <w:rsid w:val="00600722"/>
    <w:rsid w:val="006029D9"/>
    <w:rsid w:val="00602D57"/>
    <w:rsid w:val="006040D2"/>
    <w:rsid w:val="00604C32"/>
    <w:rsid w:val="006059CF"/>
    <w:rsid w:val="006079A9"/>
    <w:rsid w:val="006105A7"/>
    <w:rsid w:val="0061079F"/>
    <w:rsid w:val="006108F5"/>
    <w:rsid w:val="00611529"/>
    <w:rsid w:val="00611841"/>
    <w:rsid w:val="00613256"/>
    <w:rsid w:val="00614F5C"/>
    <w:rsid w:val="006176E7"/>
    <w:rsid w:val="0062290E"/>
    <w:rsid w:val="00622C9A"/>
    <w:rsid w:val="006233B7"/>
    <w:rsid w:val="00623560"/>
    <w:rsid w:val="0062528A"/>
    <w:rsid w:val="00625943"/>
    <w:rsid w:val="00627490"/>
    <w:rsid w:val="0063537F"/>
    <w:rsid w:val="00635F01"/>
    <w:rsid w:val="006373B2"/>
    <w:rsid w:val="00637BCC"/>
    <w:rsid w:val="006445EC"/>
    <w:rsid w:val="00645601"/>
    <w:rsid w:val="00646370"/>
    <w:rsid w:val="00647903"/>
    <w:rsid w:val="0065253A"/>
    <w:rsid w:val="00652801"/>
    <w:rsid w:val="00653F0F"/>
    <w:rsid w:val="006545FB"/>
    <w:rsid w:val="00656706"/>
    <w:rsid w:val="00660CE3"/>
    <w:rsid w:val="00663419"/>
    <w:rsid w:val="00663AD8"/>
    <w:rsid w:val="0066435C"/>
    <w:rsid w:val="0066666E"/>
    <w:rsid w:val="00666C6D"/>
    <w:rsid w:val="00667715"/>
    <w:rsid w:val="00671070"/>
    <w:rsid w:val="0067176F"/>
    <w:rsid w:val="00671E5E"/>
    <w:rsid w:val="00671E7A"/>
    <w:rsid w:val="00672F5D"/>
    <w:rsid w:val="00673CC9"/>
    <w:rsid w:val="0067603E"/>
    <w:rsid w:val="00676BC5"/>
    <w:rsid w:val="00676CEF"/>
    <w:rsid w:val="00677D2D"/>
    <w:rsid w:val="00683C2F"/>
    <w:rsid w:val="00685680"/>
    <w:rsid w:val="006878C9"/>
    <w:rsid w:val="0069148E"/>
    <w:rsid w:val="00691CE4"/>
    <w:rsid w:val="00692F13"/>
    <w:rsid w:val="00694C70"/>
    <w:rsid w:val="00695AD6"/>
    <w:rsid w:val="0069634F"/>
    <w:rsid w:val="0069649C"/>
    <w:rsid w:val="00697744"/>
    <w:rsid w:val="00697831"/>
    <w:rsid w:val="006A1AB4"/>
    <w:rsid w:val="006A2421"/>
    <w:rsid w:val="006A2948"/>
    <w:rsid w:val="006A32C3"/>
    <w:rsid w:val="006A430C"/>
    <w:rsid w:val="006A4785"/>
    <w:rsid w:val="006A4B6F"/>
    <w:rsid w:val="006A4C90"/>
    <w:rsid w:val="006A52A3"/>
    <w:rsid w:val="006A6469"/>
    <w:rsid w:val="006A680D"/>
    <w:rsid w:val="006A745A"/>
    <w:rsid w:val="006A7FAC"/>
    <w:rsid w:val="006B0785"/>
    <w:rsid w:val="006B120D"/>
    <w:rsid w:val="006B183D"/>
    <w:rsid w:val="006B29D7"/>
    <w:rsid w:val="006B2C1B"/>
    <w:rsid w:val="006B318E"/>
    <w:rsid w:val="006B3F41"/>
    <w:rsid w:val="006B444F"/>
    <w:rsid w:val="006B5CDF"/>
    <w:rsid w:val="006C17B1"/>
    <w:rsid w:val="006C27E2"/>
    <w:rsid w:val="006C391F"/>
    <w:rsid w:val="006C3C10"/>
    <w:rsid w:val="006C56DE"/>
    <w:rsid w:val="006C5AEA"/>
    <w:rsid w:val="006C5B90"/>
    <w:rsid w:val="006C618F"/>
    <w:rsid w:val="006D0CC8"/>
    <w:rsid w:val="006D12E1"/>
    <w:rsid w:val="006D34A0"/>
    <w:rsid w:val="006D454C"/>
    <w:rsid w:val="006E0200"/>
    <w:rsid w:val="006E050E"/>
    <w:rsid w:val="006E0BC5"/>
    <w:rsid w:val="006E0C46"/>
    <w:rsid w:val="006E372D"/>
    <w:rsid w:val="006E392E"/>
    <w:rsid w:val="006E3E27"/>
    <w:rsid w:val="006E48CB"/>
    <w:rsid w:val="006E62ED"/>
    <w:rsid w:val="006E7152"/>
    <w:rsid w:val="006F1164"/>
    <w:rsid w:val="006F36E7"/>
    <w:rsid w:val="006F380A"/>
    <w:rsid w:val="006F3BC4"/>
    <w:rsid w:val="006F46B9"/>
    <w:rsid w:val="006F78DF"/>
    <w:rsid w:val="00702548"/>
    <w:rsid w:val="00702E66"/>
    <w:rsid w:val="007033F4"/>
    <w:rsid w:val="00704C54"/>
    <w:rsid w:val="0070556C"/>
    <w:rsid w:val="00705DD5"/>
    <w:rsid w:val="00706F2A"/>
    <w:rsid w:val="00707CB8"/>
    <w:rsid w:val="007100FA"/>
    <w:rsid w:val="00711F45"/>
    <w:rsid w:val="00716AB9"/>
    <w:rsid w:val="00716B63"/>
    <w:rsid w:val="00720F3C"/>
    <w:rsid w:val="0072120C"/>
    <w:rsid w:val="00722580"/>
    <w:rsid w:val="0072382F"/>
    <w:rsid w:val="0072429A"/>
    <w:rsid w:val="00724D6C"/>
    <w:rsid w:val="00725652"/>
    <w:rsid w:val="00727381"/>
    <w:rsid w:val="007321AB"/>
    <w:rsid w:val="00732B83"/>
    <w:rsid w:val="0073571E"/>
    <w:rsid w:val="00737FB1"/>
    <w:rsid w:val="0074095F"/>
    <w:rsid w:val="0074469D"/>
    <w:rsid w:val="0074544B"/>
    <w:rsid w:val="00745E3E"/>
    <w:rsid w:val="007460AC"/>
    <w:rsid w:val="007461BA"/>
    <w:rsid w:val="007462AA"/>
    <w:rsid w:val="00746717"/>
    <w:rsid w:val="007504A0"/>
    <w:rsid w:val="00753F40"/>
    <w:rsid w:val="007546A6"/>
    <w:rsid w:val="007552E6"/>
    <w:rsid w:val="00760151"/>
    <w:rsid w:val="00760C87"/>
    <w:rsid w:val="00761E76"/>
    <w:rsid w:val="00763D26"/>
    <w:rsid w:val="00763EAD"/>
    <w:rsid w:val="00763F75"/>
    <w:rsid w:val="0076677A"/>
    <w:rsid w:val="00766CDB"/>
    <w:rsid w:val="007672A7"/>
    <w:rsid w:val="00767794"/>
    <w:rsid w:val="00770A2C"/>
    <w:rsid w:val="00773390"/>
    <w:rsid w:val="0077462E"/>
    <w:rsid w:val="00775BD7"/>
    <w:rsid w:val="00776C6F"/>
    <w:rsid w:val="00776D7D"/>
    <w:rsid w:val="00782139"/>
    <w:rsid w:val="00783A86"/>
    <w:rsid w:val="007847D9"/>
    <w:rsid w:val="007852E1"/>
    <w:rsid w:val="007856FB"/>
    <w:rsid w:val="007912C0"/>
    <w:rsid w:val="00791351"/>
    <w:rsid w:val="007913C7"/>
    <w:rsid w:val="00797369"/>
    <w:rsid w:val="00797E72"/>
    <w:rsid w:val="007A1076"/>
    <w:rsid w:val="007A18F6"/>
    <w:rsid w:val="007A2987"/>
    <w:rsid w:val="007A3C6C"/>
    <w:rsid w:val="007A3FFA"/>
    <w:rsid w:val="007A422E"/>
    <w:rsid w:val="007A54FF"/>
    <w:rsid w:val="007A5C4F"/>
    <w:rsid w:val="007A7B58"/>
    <w:rsid w:val="007B5CCC"/>
    <w:rsid w:val="007B5D75"/>
    <w:rsid w:val="007B6F97"/>
    <w:rsid w:val="007C0879"/>
    <w:rsid w:val="007C59A5"/>
    <w:rsid w:val="007C6DAF"/>
    <w:rsid w:val="007D0D80"/>
    <w:rsid w:val="007D162E"/>
    <w:rsid w:val="007D2BFE"/>
    <w:rsid w:val="007D56A6"/>
    <w:rsid w:val="007D7BCA"/>
    <w:rsid w:val="007E0F89"/>
    <w:rsid w:val="007E3BCC"/>
    <w:rsid w:val="007E478A"/>
    <w:rsid w:val="007E4E36"/>
    <w:rsid w:val="007F0DB6"/>
    <w:rsid w:val="007F1259"/>
    <w:rsid w:val="007F20B4"/>
    <w:rsid w:val="007F21B1"/>
    <w:rsid w:val="007F3BD1"/>
    <w:rsid w:val="007F5506"/>
    <w:rsid w:val="007F6A44"/>
    <w:rsid w:val="008016F5"/>
    <w:rsid w:val="00801849"/>
    <w:rsid w:val="00802502"/>
    <w:rsid w:val="00802CF4"/>
    <w:rsid w:val="0080304F"/>
    <w:rsid w:val="00803768"/>
    <w:rsid w:val="00803AAA"/>
    <w:rsid w:val="00803E57"/>
    <w:rsid w:val="00803FE6"/>
    <w:rsid w:val="0080472E"/>
    <w:rsid w:val="00804E8B"/>
    <w:rsid w:val="00806FC0"/>
    <w:rsid w:val="00807444"/>
    <w:rsid w:val="00811672"/>
    <w:rsid w:val="00811D3E"/>
    <w:rsid w:val="00811FEC"/>
    <w:rsid w:val="00812223"/>
    <w:rsid w:val="00814097"/>
    <w:rsid w:val="008146DE"/>
    <w:rsid w:val="00814783"/>
    <w:rsid w:val="00814B65"/>
    <w:rsid w:val="008156B5"/>
    <w:rsid w:val="00815F0A"/>
    <w:rsid w:val="008162C3"/>
    <w:rsid w:val="00820409"/>
    <w:rsid w:val="00821F4F"/>
    <w:rsid w:val="00823575"/>
    <w:rsid w:val="00824275"/>
    <w:rsid w:val="00825864"/>
    <w:rsid w:val="00825932"/>
    <w:rsid w:val="00830010"/>
    <w:rsid w:val="008319EF"/>
    <w:rsid w:val="0083305C"/>
    <w:rsid w:val="00833145"/>
    <w:rsid w:val="00834DED"/>
    <w:rsid w:val="00835306"/>
    <w:rsid w:val="0083595A"/>
    <w:rsid w:val="00836D9C"/>
    <w:rsid w:val="00841971"/>
    <w:rsid w:val="00843D34"/>
    <w:rsid w:val="00844E55"/>
    <w:rsid w:val="008505BB"/>
    <w:rsid w:val="00850BC3"/>
    <w:rsid w:val="00851155"/>
    <w:rsid w:val="0085153B"/>
    <w:rsid w:val="008528CB"/>
    <w:rsid w:val="00855F8A"/>
    <w:rsid w:val="00856ABE"/>
    <w:rsid w:val="00860725"/>
    <w:rsid w:val="0086364E"/>
    <w:rsid w:val="0086377F"/>
    <w:rsid w:val="00864F3F"/>
    <w:rsid w:val="00865A58"/>
    <w:rsid w:val="00866348"/>
    <w:rsid w:val="0087000F"/>
    <w:rsid w:val="00871736"/>
    <w:rsid w:val="00871DF5"/>
    <w:rsid w:val="008720D2"/>
    <w:rsid w:val="00872999"/>
    <w:rsid w:val="008747DC"/>
    <w:rsid w:val="00875740"/>
    <w:rsid w:val="00875E32"/>
    <w:rsid w:val="00875E96"/>
    <w:rsid w:val="0087729A"/>
    <w:rsid w:val="008818D5"/>
    <w:rsid w:val="00883231"/>
    <w:rsid w:val="00884378"/>
    <w:rsid w:val="00885797"/>
    <w:rsid w:val="00885A73"/>
    <w:rsid w:val="00886CBB"/>
    <w:rsid w:val="0089071B"/>
    <w:rsid w:val="00891A80"/>
    <w:rsid w:val="00891E0F"/>
    <w:rsid w:val="00891F24"/>
    <w:rsid w:val="00892CDB"/>
    <w:rsid w:val="00897741"/>
    <w:rsid w:val="00897D33"/>
    <w:rsid w:val="00897EF4"/>
    <w:rsid w:val="008A22B0"/>
    <w:rsid w:val="008A37F3"/>
    <w:rsid w:val="008A5C54"/>
    <w:rsid w:val="008A5E5A"/>
    <w:rsid w:val="008B048B"/>
    <w:rsid w:val="008B29D8"/>
    <w:rsid w:val="008B4BE7"/>
    <w:rsid w:val="008C0992"/>
    <w:rsid w:val="008C0B94"/>
    <w:rsid w:val="008C1B9D"/>
    <w:rsid w:val="008C2EED"/>
    <w:rsid w:val="008C60BD"/>
    <w:rsid w:val="008C62B5"/>
    <w:rsid w:val="008C6A2C"/>
    <w:rsid w:val="008D1214"/>
    <w:rsid w:val="008D4F8A"/>
    <w:rsid w:val="008D61C5"/>
    <w:rsid w:val="008D7362"/>
    <w:rsid w:val="008D7A8C"/>
    <w:rsid w:val="008E0D54"/>
    <w:rsid w:val="008E42B4"/>
    <w:rsid w:val="008E719C"/>
    <w:rsid w:val="008E7447"/>
    <w:rsid w:val="008E7562"/>
    <w:rsid w:val="008F00A7"/>
    <w:rsid w:val="008F0259"/>
    <w:rsid w:val="008F0A39"/>
    <w:rsid w:val="008F0E1A"/>
    <w:rsid w:val="008F2B18"/>
    <w:rsid w:val="008F4C46"/>
    <w:rsid w:val="008F550C"/>
    <w:rsid w:val="008F5CA2"/>
    <w:rsid w:val="008F6033"/>
    <w:rsid w:val="008F7A54"/>
    <w:rsid w:val="00900DF7"/>
    <w:rsid w:val="00900E0D"/>
    <w:rsid w:val="00902008"/>
    <w:rsid w:val="00902F16"/>
    <w:rsid w:val="00904A7A"/>
    <w:rsid w:val="00910894"/>
    <w:rsid w:val="0091151A"/>
    <w:rsid w:val="0091244D"/>
    <w:rsid w:val="00913C4C"/>
    <w:rsid w:val="00913EE4"/>
    <w:rsid w:val="009173FF"/>
    <w:rsid w:val="009200D0"/>
    <w:rsid w:val="00920399"/>
    <w:rsid w:val="00921C85"/>
    <w:rsid w:val="00921EE9"/>
    <w:rsid w:val="00922179"/>
    <w:rsid w:val="00923069"/>
    <w:rsid w:val="00923651"/>
    <w:rsid w:val="00923C84"/>
    <w:rsid w:val="00924515"/>
    <w:rsid w:val="00924BE1"/>
    <w:rsid w:val="00924E16"/>
    <w:rsid w:val="0092730A"/>
    <w:rsid w:val="00927459"/>
    <w:rsid w:val="009278F6"/>
    <w:rsid w:val="009307FB"/>
    <w:rsid w:val="00931171"/>
    <w:rsid w:val="00931219"/>
    <w:rsid w:val="00931A95"/>
    <w:rsid w:val="00931D3B"/>
    <w:rsid w:val="00931E64"/>
    <w:rsid w:val="00932539"/>
    <w:rsid w:val="00932767"/>
    <w:rsid w:val="00932E42"/>
    <w:rsid w:val="00933ED5"/>
    <w:rsid w:val="00936403"/>
    <w:rsid w:val="0094016D"/>
    <w:rsid w:val="0094083D"/>
    <w:rsid w:val="009424DC"/>
    <w:rsid w:val="00943020"/>
    <w:rsid w:val="00943DC9"/>
    <w:rsid w:val="00945AA2"/>
    <w:rsid w:val="009505D6"/>
    <w:rsid w:val="0095061F"/>
    <w:rsid w:val="00951033"/>
    <w:rsid w:val="00953877"/>
    <w:rsid w:val="00953E1D"/>
    <w:rsid w:val="00953F7C"/>
    <w:rsid w:val="0095613F"/>
    <w:rsid w:val="00957FE4"/>
    <w:rsid w:val="009604ED"/>
    <w:rsid w:val="00960517"/>
    <w:rsid w:val="0096178D"/>
    <w:rsid w:val="00961E7C"/>
    <w:rsid w:val="00964039"/>
    <w:rsid w:val="00965497"/>
    <w:rsid w:val="00966A2D"/>
    <w:rsid w:val="00967D73"/>
    <w:rsid w:val="009701D9"/>
    <w:rsid w:val="00970BAD"/>
    <w:rsid w:val="009722EC"/>
    <w:rsid w:val="00972F36"/>
    <w:rsid w:val="00973254"/>
    <w:rsid w:val="00975029"/>
    <w:rsid w:val="00975169"/>
    <w:rsid w:val="0098043A"/>
    <w:rsid w:val="00981584"/>
    <w:rsid w:val="009815A3"/>
    <w:rsid w:val="0098202F"/>
    <w:rsid w:val="00982069"/>
    <w:rsid w:val="0098304B"/>
    <w:rsid w:val="00984224"/>
    <w:rsid w:val="00986369"/>
    <w:rsid w:val="0099288B"/>
    <w:rsid w:val="00993F15"/>
    <w:rsid w:val="00994454"/>
    <w:rsid w:val="00996624"/>
    <w:rsid w:val="00997DDB"/>
    <w:rsid w:val="009A0092"/>
    <w:rsid w:val="009A27BF"/>
    <w:rsid w:val="009A3F16"/>
    <w:rsid w:val="009A4E5A"/>
    <w:rsid w:val="009A59A5"/>
    <w:rsid w:val="009B03F7"/>
    <w:rsid w:val="009B046A"/>
    <w:rsid w:val="009B1C65"/>
    <w:rsid w:val="009B3696"/>
    <w:rsid w:val="009B7616"/>
    <w:rsid w:val="009C1508"/>
    <w:rsid w:val="009C3316"/>
    <w:rsid w:val="009C58D3"/>
    <w:rsid w:val="009C6FF4"/>
    <w:rsid w:val="009C7324"/>
    <w:rsid w:val="009C759A"/>
    <w:rsid w:val="009D057E"/>
    <w:rsid w:val="009D130A"/>
    <w:rsid w:val="009D1D3E"/>
    <w:rsid w:val="009D7217"/>
    <w:rsid w:val="009E0590"/>
    <w:rsid w:val="009E0813"/>
    <w:rsid w:val="009E0BF3"/>
    <w:rsid w:val="009E127D"/>
    <w:rsid w:val="009E20D3"/>
    <w:rsid w:val="009E223A"/>
    <w:rsid w:val="009E28C1"/>
    <w:rsid w:val="009E4135"/>
    <w:rsid w:val="009F0C04"/>
    <w:rsid w:val="009F1076"/>
    <w:rsid w:val="009F11EF"/>
    <w:rsid w:val="009F1264"/>
    <w:rsid w:val="009F12BA"/>
    <w:rsid w:val="009F1327"/>
    <w:rsid w:val="009F337C"/>
    <w:rsid w:val="009F67CE"/>
    <w:rsid w:val="00A010D2"/>
    <w:rsid w:val="00A01906"/>
    <w:rsid w:val="00A03679"/>
    <w:rsid w:val="00A04995"/>
    <w:rsid w:val="00A04A6A"/>
    <w:rsid w:val="00A05660"/>
    <w:rsid w:val="00A06369"/>
    <w:rsid w:val="00A065B9"/>
    <w:rsid w:val="00A06640"/>
    <w:rsid w:val="00A1108F"/>
    <w:rsid w:val="00A1293C"/>
    <w:rsid w:val="00A1333B"/>
    <w:rsid w:val="00A14097"/>
    <w:rsid w:val="00A156F0"/>
    <w:rsid w:val="00A15913"/>
    <w:rsid w:val="00A16768"/>
    <w:rsid w:val="00A1703A"/>
    <w:rsid w:val="00A17C8E"/>
    <w:rsid w:val="00A24764"/>
    <w:rsid w:val="00A257EC"/>
    <w:rsid w:val="00A25AFA"/>
    <w:rsid w:val="00A27DBC"/>
    <w:rsid w:val="00A301D1"/>
    <w:rsid w:val="00A310C4"/>
    <w:rsid w:val="00A31272"/>
    <w:rsid w:val="00A3152B"/>
    <w:rsid w:val="00A323AA"/>
    <w:rsid w:val="00A32A41"/>
    <w:rsid w:val="00A33A43"/>
    <w:rsid w:val="00A365E1"/>
    <w:rsid w:val="00A40F97"/>
    <w:rsid w:val="00A42CC4"/>
    <w:rsid w:val="00A43EEA"/>
    <w:rsid w:val="00A45CC3"/>
    <w:rsid w:val="00A45CE0"/>
    <w:rsid w:val="00A462C4"/>
    <w:rsid w:val="00A47219"/>
    <w:rsid w:val="00A47F45"/>
    <w:rsid w:val="00A5238F"/>
    <w:rsid w:val="00A52C5D"/>
    <w:rsid w:val="00A53FCE"/>
    <w:rsid w:val="00A54052"/>
    <w:rsid w:val="00A548E9"/>
    <w:rsid w:val="00A556E6"/>
    <w:rsid w:val="00A5643F"/>
    <w:rsid w:val="00A566B0"/>
    <w:rsid w:val="00A57E43"/>
    <w:rsid w:val="00A6009F"/>
    <w:rsid w:val="00A60588"/>
    <w:rsid w:val="00A60EEE"/>
    <w:rsid w:val="00A615DD"/>
    <w:rsid w:val="00A6245E"/>
    <w:rsid w:val="00A625C7"/>
    <w:rsid w:val="00A62FEA"/>
    <w:rsid w:val="00A644A0"/>
    <w:rsid w:val="00A6481B"/>
    <w:rsid w:val="00A65CE2"/>
    <w:rsid w:val="00A72EE1"/>
    <w:rsid w:val="00A753DF"/>
    <w:rsid w:val="00A7548C"/>
    <w:rsid w:val="00A76838"/>
    <w:rsid w:val="00A77180"/>
    <w:rsid w:val="00A80953"/>
    <w:rsid w:val="00A8114E"/>
    <w:rsid w:val="00A82201"/>
    <w:rsid w:val="00A82684"/>
    <w:rsid w:val="00A828BF"/>
    <w:rsid w:val="00A84A90"/>
    <w:rsid w:val="00A85147"/>
    <w:rsid w:val="00A92BB5"/>
    <w:rsid w:val="00A94037"/>
    <w:rsid w:val="00A9437E"/>
    <w:rsid w:val="00A95F19"/>
    <w:rsid w:val="00A96814"/>
    <w:rsid w:val="00AA12B5"/>
    <w:rsid w:val="00AA1EE3"/>
    <w:rsid w:val="00AA34A8"/>
    <w:rsid w:val="00AA3BF2"/>
    <w:rsid w:val="00AA3DB2"/>
    <w:rsid w:val="00AA45CE"/>
    <w:rsid w:val="00AA7D06"/>
    <w:rsid w:val="00AA7DFE"/>
    <w:rsid w:val="00AB10E8"/>
    <w:rsid w:val="00AB20CC"/>
    <w:rsid w:val="00AB3672"/>
    <w:rsid w:val="00AB3AD4"/>
    <w:rsid w:val="00AB3B20"/>
    <w:rsid w:val="00AB4766"/>
    <w:rsid w:val="00AB61FC"/>
    <w:rsid w:val="00AC1194"/>
    <w:rsid w:val="00AC16DD"/>
    <w:rsid w:val="00AC1769"/>
    <w:rsid w:val="00AC2027"/>
    <w:rsid w:val="00AC2055"/>
    <w:rsid w:val="00AC2797"/>
    <w:rsid w:val="00AC3625"/>
    <w:rsid w:val="00AC4660"/>
    <w:rsid w:val="00AC5209"/>
    <w:rsid w:val="00AC6686"/>
    <w:rsid w:val="00AC6889"/>
    <w:rsid w:val="00AD051E"/>
    <w:rsid w:val="00AD215D"/>
    <w:rsid w:val="00AD3467"/>
    <w:rsid w:val="00AD4995"/>
    <w:rsid w:val="00AD5114"/>
    <w:rsid w:val="00AD5935"/>
    <w:rsid w:val="00AD67FB"/>
    <w:rsid w:val="00AD747B"/>
    <w:rsid w:val="00AE2129"/>
    <w:rsid w:val="00AE31AB"/>
    <w:rsid w:val="00AE37A3"/>
    <w:rsid w:val="00AF1C81"/>
    <w:rsid w:val="00AF27AE"/>
    <w:rsid w:val="00AF31E4"/>
    <w:rsid w:val="00AF5EA9"/>
    <w:rsid w:val="00AF6EFA"/>
    <w:rsid w:val="00AF746E"/>
    <w:rsid w:val="00AF7558"/>
    <w:rsid w:val="00B02E4D"/>
    <w:rsid w:val="00B04160"/>
    <w:rsid w:val="00B0549A"/>
    <w:rsid w:val="00B05A7C"/>
    <w:rsid w:val="00B07B5B"/>
    <w:rsid w:val="00B114E7"/>
    <w:rsid w:val="00B11757"/>
    <w:rsid w:val="00B11C51"/>
    <w:rsid w:val="00B1260F"/>
    <w:rsid w:val="00B13619"/>
    <w:rsid w:val="00B13B5C"/>
    <w:rsid w:val="00B14261"/>
    <w:rsid w:val="00B15590"/>
    <w:rsid w:val="00B1696B"/>
    <w:rsid w:val="00B16FF8"/>
    <w:rsid w:val="00B20B25"/>
    <w:rsid w:val="00B21728"/>
    <w:rsid w:val="00B22DD1"/>
    <w:rsid w:val="00B23D1F"/>
    <w:rsid w:val="00B2447F"/>
    <w:rsid w:val="00B246A9"/>
    <w:rsid w:val="00B31127"/>
    <w:rsid w:val="00B3218A"/>
    <w:rsid w:val="00B32E42"/>
    <w:rsid w:val="00B33398"/>
    <w:rsid w:val="00B34E55"/>
    <w:rsid w:val="00B34EA2"/>
    <w:rsid w:val="00B350A5"/>
    <w:rsid w:val="00B358AB"/>
    <w:rsid w:val="00B35C89"/>
    <w:rsid w:val="00B4254F"/>
    <w:rsid w:val="00B44DA7"/>
    <w:rsid w:val="00B45C65"/>
    <w:rsid w:val="00B45FE3"/>
    <w:rsid w:val="00B46966"/>
    <w:rsid w:val="00B51617"/>
    <w:rsid w:val="00B51E8F"/>
    <w:rsid w:val="00B52BAB"/>
    <w:rsid w:val="00B53581"/>
    <w:rsid w:val="00B539F3"/>
    <w:rsid w:val="00B53B07"/>
    <w:rsid w:val="00B54493"/>
    <w:rsid w:val="00B56224"/>
    <w:rsid w:val="00B56271"/>
    <w:rsid w:val="00B5766B"/>
    <w:rsid w:val="00B62BE8"/>
    <w:rsid w:val="00B636A9"/>
    <w:rsid w:val="00B636CA"/>
    <w:rsid w:val="00B65537"/>
    <w:rsid w:val="00B65CB8"/>
    <w:rsid w:val="00B66704"/>
    <w:rsid w:val="00B6689D"/>
    <w:rsid w:val="00B66F69"/>
    <w:rsid w:val="00B6759C"/>
    <w:rsid w:val="00B6795F"/>
    <w:rsid w:val="00B67CC5"/>
    <w:rsid w:val="00B706FD"/>
    <w:rsid w:val="00B72C85"/>
    <w:rsid w:val="00B73668"/>
    <w:rsid w:val="00B7439C"/>
    <w:rsid w:val="00B756AE"/>
    <w:rsid w:val="00B758A6"/>
    <w:rsid w:val="00B8061E"/>
    <w:rsid w:val="00B812BA"/>
    <w:rsid w:val="00B8146F"/>
    <w:rsid w:val="00B816A4"/>
    <w:rsid w:val="00B8270E"/>
    <w:rsid w:val="00B83027"/>
    <w:rsid w:val="00B84E64"/>
    <w:rsid w:val="00B85A5F"/>
    <w:rsid w:val="00B86FB0"/>
    <w:rsid w:val="00B87F49"/>
    <w:rsid w:val="00B91250"/>
    <w:rsid w:val="00B91591"/>
    <w:rsid w:val="00B93667"/>
    <w:rsid w:val="00B93A58"/>
    <w:rsid w:val="00B942B4"/>
    <w:rsid w:val="00B96310"/>
    <w:rsid w:val="00B9736D"/>
    <w:rsid w:val="00B979DE"/>
    <w:rsid w:val="00BA0AFE"/>
    <w:rsid w:val="00BA19A4"/>
    <w:rsid w:val="00BA213C"/>
    <w:rsid w:val="00BA323F"/>
    <w:rsid w:val="00BA3FB4"/>
    <w:rsid w:val="00BB0003"/>
    <w:rsid w:val="00BB1F59"/>
    <w:rsid w:val="00BB2449"/>
    <w:rsid w:val="00BB2462"/>
    <w:rsid w:val="00BB2A9E"/>
    <w:rsid w:val="00BB3346"/>
    <w:rsid w:val="00BB45A3"/>
    <w:rsid w:val="00BB4FC6"/>
    <w:rsid w:val="00BB71E2"/>
    <w:rsid w:val="00BB7741"/>
    <w:rsid w:val="00BC103D"/>
    <w:rsid w:val="00BC13A0"/>
    <w:rsid w:val="00BC1D3F"/>
    <w:rsid w:val="00BC2FBB"/>
    <w:rsid w:val="00BC3CE8"/>
    <w:rsid w:val="00BC4E65"/>
    <w:rsid w:val="00BC5BD3"/>
    <w:rsid w:val="00BC5F33"/>
    <w:rsid w:val="00BC618A"/>
    <w:rsid w:val="00BC7A69"/>
    <w:rsid w:val="00BD1F5F"/>
    <w:rsid w:val="00BD5AE4"/>
    <w:rsid w:val="00BD6ACF"/>
    <w:rsid w:val="00BD7F4F"/>
    <w:rsid w:val="00BE082D"/>
    <w:rsid w:val="00BE12D6"/>
    <w:rsid w:val="00BE336A"/>
    <w:rsid w:val="00BE3CCB"/>
    <w:rsid w:val="00BE5852"/>
    <w:rsid w:val="00BE5F29"/>
    <w:rsid w:val="00BE625D"/>
    <w:rsid w:val="00BE682A"/>
    <w:rsid w:val="00BF218C"/>
    <w:rsid w:val="00BF3A87"/>
    <w:rsid w:val="00BF419C"/>
    <w:rsid w:val="00BF4D7E"/>
    <w:rsid w:val="00BF5C8D"/>
    <w:rsid w:val="00BF6393"/>
    <w:rsid w:val="00BF698E"/>
    <w:rsid w:val="00BF6DE9"/>
    <w:rsid w:val="00BF6F83"/>
    <w:rsid w:val="00BF70E4"/>
    <w:rsid w:val="00BF7C2C"/>
    <w:rsid w:val="00C0086D"/>
    <w:rsid w:val="00C03376"/>
    <w:rsid w:val="00C03F5A"/>
    <w:rsid w:val="00C04029"/>
    <w:rsid w:val="00C04A7D"/>
    <w:rsid w:val="00C07578"/>
    <w:rsid w:val="00C1218C"/>
    <w:rsid w:val="00C14ACB"/>
    <w:rsid w:val="00C158A4"/>
    <w:rsid w:val="00C1763E"/>
    <w:rsid w:val="00C204F7"/>
    <w:rsid w:val="00C21B6B"/>
    <w:rsid w:val="00C23E3F"/>
    <w:rsid w:val="00C23EE4"/>
    <w:rsid w:val="00C2459C"/>
    <w:rsid w:val="00C2488A"/>
    <w:rsid w:val="00C2627D"/>
    <w:rsid w:val="00C312C8"/>
    <w:rsid w:val="00C32208"/>
    <w:rsid w:val="00C33793"/>
    <w:rsid w:val="00C34837"/>
    <w:rsid w:val="00C349B6"/>
    <w:rsid w:val="00C34E7A"/>
    <w:rsid w:val="00C359FC"/>
    <w:rsid w:val="00C365FA"/>
    <w:rsid w:val="00C36ACA"/>
    <w:rsid w:val="00C40EC0"/>
    <w:rsid w:val="00C41438"/>
    <w:rsid w:val="00C44317"/>
    <w:rsid w:val="00C47933"/>
    <w:rsid w:val="00C47D6B"/>
    <w:rsid w:val="00C500F4"/>
    <w:rsid w:val="00C50AAB"/>
    <w:rsid w:val="00C50E52"/>
    <w:rsid w:val="00C514EC"/>
    <w:rsid w:val="00C51660"/>
    <w:rsid w:val="00C52149"/>
    <w:rsid w:val="00C52310"/>
    <w:rsid w:val="00C53DB0"/>
    <w:rsid w:val="00C5442A"/>
    <w:rsid w:val="00C54546"/>
    <w:rsid w:val="00C571BB"/>
    <w:rsid w:val="00C608CC"/>
    <w:rsid w:val="00C60CD3"/>
    <w:rsid w:val="00C60E09"/>
    <w:rsid w:val="00C65BA4"/>
    <w:rsid w:val="00C6657B"/>
    <w:rsid w:val="00C66D75"/>
    <w:rsid w:val="00C677F8"/>
    <w:rsid w:val="00C67F12"/>
    <w:rsid w:val="00C7009A"/>
    <w:rsid w:val="00C7018D"/>
    <w:rsid w:val="00C71411"/>
    <w:rsid w:val="00C751FA"/>
    <w:rsid w:val="00C762AF"/>
    <w:rsid w:val="00C76A50"/>
    <w:rsid w:val="00C76C7D"/>
    <w:rsid w:val="00C77DBF"/>
    <w:rsid w:val="00C8001A"/>
    <w:rsid w:val="00C8150D"/>
    <w:rsid w:val="00C817A6"/>
    <w:rsid w:val="00C8379D"/>
    <w:rsid w:val="00C842F2"/>
    <w:rsid w:val="00C85A88"/>
    <w:rsid w:val="00C874F7"/>
    <w:rsid w:val="00C901EF"/>
    <w:rsid w:val="00C919AB"/>
    <w:rsid w:val="00C9220B"/>
    <w:rsid w:val="00C94BDA"/>
    <w:rsid w:val="00C96679"/>
    <w:rsid w:val="00CA01C8"/>
    <w:rsid w:val="00CA0AB9"/>
    <w:rsid w:val="00CA204B"/>
    <w:rsid w:val="00CA3D0F"/>
    <w:rsid w:val="00CA3D71"/>
    <w:rsid w:val="00CA51F1"/>
    <w:rsid w:val="00CA6D34"/>
    <w:rsid w:val="00CA71A5"/>
    <w:rsid w:val="00CA7BCE"/>
    <w:rsid w:val="00CB3DFB"/>
    <w:rsid w:val="00CB4CB7"/>
    <w:rsid w:val="00CB4F14"/>
    <w:rsid w:val="00CB569E"/>
    <w:rsid w:val="00CB649A"/>
    <w:rsid w:val="00CB6A56"/>
    <w:rsid w:val="00CB6BFB"/>
    <w:rsid w:val="00CC583F"/>
    <w:rsid w:val="00CC5D86"/>
    <w:rsid w:val="00CC7565"/>
    <w:rsid w:val="00CC76C5"/>
    <w:rsid w:val="00CD1C0B"/>
    <w:rsid w:val="00CD1E55"/>
    <w:rsid w:val="00CD265A"/>
    <w:rsid w:val="00CD36E8"/>
    <w:rsid w:val="00CE0FF7"/>
    <w:rsid w:val="00CE14FF"/>
    <w:rsid w:val="00CE35E9"/>
    <w:rsid w:val="00CE3DDE"/>
    <w:rsid w:val="00CE5FDE"/>
    <w:rsid w:val="00CE630F"/>
    <w:rsid w:val="00CE6520"/>
    <w:rsid w:val="00CE6B20"/>
    <w:rsid w:val="00CE79F4"/>
    <w:rsid w:val="00CF1204"/>
    <w:rsid w:val="00CF354E"/>
    <w:rsid w:val="00CF6097"/>
    <w:rsid w:val="00CF73A2"/>
    <w:rsid w:val="00D00E6A"/>
    <w:rsid w:val="00D0102E"/>
    <w:rsid w:val="00D020D8"/>
    <w:rsid w:val="00D03741"/>
    <w:rsid w:val="00D03BD9"/>
    <w:rsid w:val="00D07FED"/>
    <w:rsid w:val="00D10886"/>
    <w:rsid w:val="00D1194D"/>
    <w:rsid w:val="00D11BCD"/>
    <w:rsid w:val="00D12479"/>
    <w:rsid w:val="00D15969"/>
    <w:rsid w:val="00D15990"/>
    <w:rsid w:val="00D17DEB"/>
    <w:rsid w:val="00D21D67"/>
    <w:rsid w:val="00D220BF"/>
    <w:rsid w:val="00D22DD0"/>
    <w:rsid w:val="00D24D16"/>
    <w:rsid w:val="00D25864"/>
    <w:rsid w:val="00D25C09"/>
    <w:rsid w:val="00D267F9"/>
    <w:rsid w:val="00D27619"/>
    <w:rsid w:val="00D32277"/>
    <w:rsid w:val="00D3309C"/>
    <w:rsid w:val="00D3337B"/>
    <w:rsid w:val="00D35AB9"/>
    <w:rsid w:val="00D35DD4"/>
    <w:rsid w:val="00D3771E"/>
    <w:rsid w:val="00D40B86"/>
    <w:rsid w:val="00D40EFF"/>
    <w:rsid w:val="00D41488"/>
    <w:rsid w:val="00D41DE9"/>
    <w:rsid w:val="00D42726"/>
    <w:rsid w:val="00D43702"/>
    <w:rsid w:val="00D437D6"/>
    <w:rsid w:val="00D43B7C"/>
    <w:rsid w:val="00D43CDD"/>
    <w:rsid w:val="00D50101"/>
    <w:rsid w:val="00D53E41"/>
    <w:rsid w:val="00D54F8C"/>
    <w:rsid w:val="00D55DFB"/>
    <w:rsid w:val="00D5735A"/>
    <w:rsid w:val="00D60039"/>
    <w:rsid w:val="00D618D0"/>
    <w:rsid w:val="00D620D0"/>
    <w:rsid w:val="00D6245E"/>
    <w:rsid w:val="00D625CF"/>
    <w:rsid w:val="00D636AA"/>
    <w:rsid w:val="00D64278"/>
    <w:rsid w:val="00D64DF6"/>
    <w:rsid w:val="00D67D79"/>
    <w:rsid w:val="00D718AB"/>
    <w:rsid w:val="00D80E2B"/>
    <w:rsid w:val="00D8204B"/>
    <w:rsid w:val="00D833C8"/>
    <w:rsid w:val="00D841F0"/>
    <w:rsid w:val="00D84875"/>
    <w:rsid w:val="00D866B6"/>
    <w:rsid w:val="00D871F2"/>
    <w:rsid w:val="00D90F21"/>
    <w:rsid w:val="00D91096"/>
    <w:rsid w:val="00D927D4"/>
    <w:rsid w:val="00D9387C"/>
    <w:rsid w:val="00D94122"/>
    <w:rsid w:val="00D95656"/>
    <w:rsid w:val="00DA1150"/>
    <w:rsid w:val="00DA28A4"/>
    <w:rsid w:val="00DA3173"/>
    <w:rsid w:val="00DA3363"/>
    <w:rsid w:val="00DA7A1A"/>
    <w:rsid w:val="00DB0736"/>
    <w:rsid w:val="00DB2664"/>
    <w:rsid w:val="00DB28A7"/>
    <w:rsid w:val="00DB33EB"/>
    <w:rsid w:val="00DB4041"/>
    <w:rsid w:val="00DB4341"/>
    <w:rsid w:val="00DB46EE"/>
    <w:rsid w:val="00DB5D9D"/>
    <w:rsid w:val="00DB6830"/>
    <w:rsid w:val="00DC3391"/>
    <w:rsid w:val="00DC7F5C"/>
    <w:rsid w:val="00DD155B"/>
    <w:rsid w:val="00DD5F5E"/>
    <w:rsid w:val="00DD66B9"/>
    <w:rsid w:val="00DD6A36"/>
    <w:rsid w:val="00DD7E24"/>
    <w:rsid w:val="00DE0BB4"/>
    <w:rsid w:val="00DE1015"/>
    <w:rsid w:val="00DE11D2"/>
    <w:rsid w:val="00DE1DB1"/>
    <w:rsid w:val="00DE2303"/>
    <w:rsid w:val="00DE3768"/>
    <w:rsid w:val="00DE3D0F"/>
    <w:rsid w:val="00DE4EDD"/>
    <w:rsid w:val="00DE6086"/>
    <w:rsid w:val="00DE6240"/>
    <w:rsid w:val="00DE6F2F"/>
    <w:rsid w:val="00DE751E"/>
    <w:rsid w:val="00DF2E51"/>
    <w:rsid w:val="00DF2EB9"/>
    <w:rsid w:val="00DF59A3"/>
    <w:rsid w:val="00DF734C"/>
    <w:rsid w:val="00DF77F4"/>
    <w:rsid w:val="00DF78C3"/>
    <w:rsid w:val="00DF7E45"/>
    <w:rsid w:val="00DF7F8D"/>
    <w:rsid w:val="00E01091"/>
    <w:rsid w:val="00E02427"/>
    <w:rsid w:val="00E03DD2"/>
    <w:rsid w:val="00E1160B"/>
    <w:rsid w:val="00E12137"/>
    <w:rsid w:val="00E13F64"/>
    <w:rsid w:val="00E15469"/>
    <w:rsid w:val="00E166A9"/>
    <w:rsid w:val="00E24803"/>
    <w:rsid w:val="00E24F38"/>
    <w:rsid w:val="00E27015"/>
    <w:rsid w:val="00E27891"/>
    <w:rsid w:val="00E2797C"/>
    <w:rsid w:val="00E30632"/>
    <w:rsid w:val="00E319CF"/>
    <w:rsid w:val="00E31FC7"/>
    <w:rsid w:val="00E33D19"/>
    <w:rsid w:val="00E37B82"/>
    <w:rsid w:val="00E41C6E"/>
    <w:rsid w:val="00E41E1F"/>
    <w:rsid w:val="00E4219A"/>
    <w:rsid w:val="00E43002"/>
    <w:rsid w:val="00E436C9"/>
    <w:rsid w:val="00E44044"/>
    <w:rsid w:val="00E448E3"/>
    <w:rsid w:val="00E44D16"/>
    <w:rsid w:val="00E45C7E"/>
    <w:rsid w:val="00E45DB6"/>
    <w:rsid w:val="00E506BE"/>
    <w:rsid w:val="00E50996"/>
    <w:rsid w:val="00E51C98"/>
    <w:rsid w:val="00E52294"/>
    <w:rsid w:val="00E52A7A"/>
    <w:rsid w:val="00E548D3"/>
    <w:rsid w:val="00E56A72"/>
    <w:rsid w:val="00E57123"/>
    <w:rsid w:val="00E6029C"/>
    <w:rsid w:val="00E6241B"/>
    <w:rsid w:val="00E62C71"/>
    <w:rsid w:val="00E642AF"/>
    <w:rsid w:val="00E645C1"/>
    <w:rsid w:val="00E6547F"/>
    <w:rsid w:val="00E6655D"/>
    <w:rsid w:val="00E708C2"/>
    <w:rsid w:val="00E7281B"/>
    <w:rsid w:val="00E74FB0"/>
    <w:rsid w:val="00E762CB"/>
    <w:rsid w:val="00E7684B"/>
    <w:rsid w:val="00E76BDC"/>
    <w:rsid w:val="00E76C5A"/>
    <w:rsid w:val="00E8103E"/>
    <w:rsid w:val="00E82F99"/>
    <w:rsid w:val="00E841CA"/>
    <w:rsid w:val="00E90A39"/>
    <w:rsid w:val="00E91494"/>
    <w:rsid w:val="00E91543"/>
    <w:rsid w:val="00E91F45"/>
    <w:rsid w:val="00E93F35"/>
    <w:rsid w:val="00E96FAD"/>
    <w:rsid w:val="00E978F1"/>
    <w:rsid w:val="00EA0E1C"/>
    <w:rsid w:val="00EA196B"/>
    <w:rsid w:val="00EA1D43"/>
    <w:rsid w:val="00EA69F5"/>
    <w:rsid w:val="00EA6F5F"/>
    <w:rsid w:val="00EA6FD1"/>
    <w:rsid w:val="00EB0788"/>
    <w:rsid w:val="00EB0843"/>
    <w:rsid w:val="00EB19CC"/>
    <w:rsid w:val="00EB3E80"/>
    <w:rsid w:val="00EB4466"/>
    <w:rsid w:val="00EC0DFD"/>
    <w:rsid w:val="00EC0FC1"/>
    <w:rsid w:val="00EC1C4F"/>
    <w:rsid w:val="00EC3290"/>
    <w:rsid w:val="00EC3E31"/>
    <w:rsid w:val="00EC41DA"/>
    <w:rsid w:val="00EC4744"/>
    <w:rsid w:val="00EC7C9F"/>
    <w:rsid w:val="00ED0712"/>
    <w:rsid w:val="00ED1E3F"/>
    <w:rsid w:val="00ED3B3F"/>
    <w:rsid w:val="00ED3B5A"/>
    <w:rsid w:val="00ED4AD5"/>
    <w:rsid w:val="00ED54C5"/>
    <w:rsid w:val="00ED63D2"/>
    <w:rsid w:val="00EE0CF4"/>
    <w:rsid w:val="00EE1D41"/>
    <w:rsid w:val="00EE237E"/>
    <w:rsid w:val="00EE4E9B"/>
    <w:rsid w:val="00EE604C"/>
    <w:rsid w:val="00EE6419"/>
    <w:rsid w:val="00EE65BA"/>
    <w:rsid w:val="00EE74F2"/>
    <w:rsid w:val="00EE7D58"/>
    <w:rsid w:val="00EF0B57"/>
    <w:rsid w:val="00EF285C"/>
    <w:rsid w:val="00EF3A4C"/>
    <w:rsid w:val="00EF4C2F"/>
    <w:rsid w:val="00EF5B56"/>
    <w:rsid w:val="00EF64B9"/>
    <w:rsid w:val="00EF72D8"/>
    <w:rsid w:val="00EF7641"/>
    <w:rsid w:val="00F008C6"/>
    <w:rsid w:val="00F01332"/>
    <w:rsid w:val="00F01ABD"/>
    <w:rsid w:val="00F046DD"/>
    <w:rsid w:val="00F054EE"/>
    <w:rsid w:val="00F06706"/>
    <w:rsid w:val="00F06A2B"/>
    <w:rsid w:val="00F10FC7"/>
    <w:rsid w:val="00F124AD"/>
    <w:rsid w:val="00F144B8"/>
    <w:rsid w:val="00F1543F"/>
    <w:rsid w:val="00F154E8"/>
    <w:rsid w:val="00F16629"/>
    <w:rsid w:val="00F1763F"/>
    <w:rsid w:val="00F21F65"/>
    <w:rsid w:val="00F22CED"/>
    <w:rsid w:val="00F233D9"/>
    <w:rsid w:val="00F244AB"/>
    <w:rsid w:val="00F25E81"/>
    <w:rsid w:val="00F30E5C"/>
    <w:rsid w:val="00F32AE7"/>
    <w:rsid w:val="00F353FB"/>
    <w:rsid w:val="00F408E1"/>
    <w:rsid w:val="00F40E18"/>
    <w:rsid w:val="00F411F3"/>
    <w:rsid w:val="00F41D8A"/>
    <w:rsid w:val="00F42DAB"/>
    <w:rsid w:val="00F431EF"/>
    <w:rsid w:val="00F4351C"/>
    <w:rsid w:val="00F43D5D"/>
    <w:rsid w:val="00F43D9A"/>
    <w:rsid w:val="00F43FCE"/>
    <w:rsid w:val="00F457D3"/>
    <w:rsid w:val="00F51159"/>
    <w:rsid w:val="00F52E9D"/>
    <w:rsid w:val="00F55043"/>
    <w:rsid w:val="00F55B85"/>
    <w:rsid w:val="00F569AE"/>
    <w:rsid w:val="00F574F3"/>
    <w:rsid w:val="00F60B04"/>
    <w:rsid w:val="00F6174E"/>
    <w:rsid w:val="00F62A2A"/>
    <w:rsid w:val="00F62F34"/>
    <w:rsid w:val="00F631FB"/>
    <w:rsid w:val="00F63B99"/>
    <w:rsid w:val="00F63CCA"/>
    <w:rsid w:val="00F642EA"/>
    <w:rsid w:val="00F64310"/>
    <w:rsid w:val="00F6502A"/>
    <w:rsid w:val="00F67647"/>
    <w:rsid w:val="00F67B05"/>
    <w:rsid w:val="00F71250"/>
    <w:rsid w:val="00F71468"/>
    <w:rsid w:val="00F736DC"/>
    <w:rsid w:val="00F74D64"/>
    <w:rsid w:val="00F75295"/>
    <w:rsid w:val="00F75EF7"/>
    <w:rsid w:val="00F75F56"/>
    <w:rsid w:val="00F76A8F"/>
    <w:rsid w:val="00F76CE9"/>
    <w:rsid w:val="00F77768"/>
    <w:rsid w:val="00F81F11"/>
    <w:rsid w:val="00F82694"/>
    <w:rsid w:val="00F834BE"/>
    <w:rsid w:val="00F84036"/>
    <w:rsid w:val="00F84CF8"/>
    <w:rsid w:val="00F87727"/>
    <w:rsid w:val="00F90B93"/>
    <w:rsid w:val="00F9184F"/>
    <w:rsid w:val="00F92082"/>
    <w:rsid w:val="00F92C8F"/>
    <w:rsid w:val="00F947CD"/>
    <w:rsid w:val="00F97693"/>
    <w:rsid w:val="00FA109B"/>
    <w:rsid w:val="00FA27A4"/>
    <w:rsid w:val="00FA2D91"/>
    <w:rsid w:val="00FA416C"/>
    <w:rsid w:val="00FA47A3"/>
    <w:rsid w:val="00FA7BBF"/>
    <w:rsid w:val="00FA7BF8"/>
    <w:rsid w:val="00FB06B6"/>
    <w:rsid w:val="00FB086D"/>
    <w:rsid w:val="00FB20D0"/>
    <w:rsid w:val="00FB320C"/>
    <w:rsid w:val="00FB3A52"/>
    <w:rsid w:val="00FB3F59"/>
    <w:rsid w:val="00FB427E"/>
    <w:rsid w:val="00FB59C5"/>
    <w:rsid w:val="00FB5A23"/>
    <w:rsid w:val="00FC002C"/>
    <w:rsid w:val="00FC0406"/>
    <w:rsid w:val="00FC1CD6"/>
    <w:rsid w:val="00FC2521"/>
    <w:rsid w:val="00FC2778"/>
    <w:rsid w:val="00FC635F"/>
    <w:rsid w:val="00FD0037"/>
    <w:rsid w:val="00FD0B18"/>
    <w:rsid w:val="00FD0BF7"/>
    <w:rsid w:val="00FD16F9"/>
    <w:rsid w:val="00FD19C6"/>
    <w:rsid w:val="00FD3075"/>
    <w:rsid w:val="00FE06F2"/>
    <w:rsid w:val="00FE0D4E"/>
    <w:rsid w:val="00FE1885"/>
    <w:rsid w:val="00FE2314"/>
    <w:rsid w:val="00FE25C2"/>
    <w:rsid w:val="00FE2764"/>
    <w:rsid w:val="00FE39E8"/>
    <w:rsid w:val="00FE64A9"/>
    <w:rsid w:val="00FE6B98"/>
    <w:rsid w:val="00FE7660"/>
    <w:rsid w:val="00FF0AD8"/>
    <w:rsid w:val="00FF0CCE"/>
    <w:rsid w:val="00FF3AD0"/>
    <w:rsid w:val="00FF3B67"/>
    <w:rsid w:val="00FF484F"/>
    <w:rsid w:val="00FF7E6E"/>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7AAC"/>
  <w15:chartTrackingRefBased/>
  <w15:docId w15:val="{9F04F189-7C26-4284-B3F4-23611D6E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5E"/>
  </w:style>
  <w:style w:type="paragraph" w:styleId="Heading3">
    <w:name w:val="heading 3"/>
    <w:basedOn w:val="Normal"/>
    <w:next w:val="Normal"/>
    <w:link w:val="Heading3Char"/>
    <w:uiPriority w:val="9"/>
    <w:semiHidden/>
    <w:unhideWhenUsed/>
    <w:qFormat/>
    <w:rsid w:val="00BB2462"/>
    <w:pPr>
      <w:keepNext/>
      <w:keepLines/>
      <w:spacing w:before="40" w:after="0"/>
      <w:outlineLvl w:val="2"/>
    </w:pPr>
    <w:rPr>
      <w:rFonts w:asciiTheme="majorHAnsi" w:eastAsiaTheme="majorEastAsia" w:hAnsiTheme="majorHAnsi" w:cstheme="majorBidi"/>
      <w:color w:val="1F3763" w:themeColor="accent1" w:themeShade="7F"/>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Colorful List - Accent 11,APAM List Paragraph,List Paragraph11,List Paragraph Char Char,lp1,Number_1,SGLText List Paragraph,new,b1,Normal Sentence"/>
    <w:basedOn w:val="Normal"/>
    <w:link w:val="ListParagraphChar"/>
    <w:uiPriority w:val="34"/>
    <w:qFormat/>
    <w:rsid w:val="00BE3CCB"/>
    <w:pPr>
      <w:ind w:left="720"/>
      <w:contextualSpacing/>
    </w:pPr>
    <w:rPr>
      <w:rFonts w:cs="Mangal"/>
      <w:szCs w:val="21"/>
    </w:rPr>
  </w:style>
  <w:style w:type="character" w:customStyle="1" w:styleId="ListParagraphChar">
    <w:name w:val="List Paragraph Char"/>
    <w:aliases w:val="List Paragraph2 Char,Colorful List - Accent 11 Char,APAM List Paragraph Char,List Paragraph11 Char,List Paragraph Char Char Char,lp1 Char,Number_1 Char,SGLText List Paragraph Char,new Char,b1 Char,Normal Sentence Char"/>
    <w:basedOn w:val="DefaultParagraphFont"/>
    <w:link w:val="ListParagraph"/>
    <w:uiPriority w:val="34"/>
    <w:locked/>
    <w:rsid w:val="00BE3CCB"/>
    <w:rPr>
      <w:rFonts w:cs="Mangal"/>
      <w:szCs w:val="21"/>
    </w:rPr>
  </w:style>
  <w:style w:type="paragraph" w:customStyle="1" w:styleId="NoParagraphStyle">
    <w:name w:val="[No Paragraph Style]"/>
    <w:rsid w:val="00BE3CC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n-GB" w:bidi="ar-SA"/>
    </w:rPr>
  </w:style>
  <w:style w:type="character" w:customStyle="1" w:styleId="BodyBulletChar">
    <w:name w:val="_Body Bullet Char"/>
    <w:basedOn w:val="DefaultParagraphFont"/>
    <w:link w:val="BodyBullet"/>
    <w:locked/>
    <w:rsid w:val="00BE3CCB"/>
    <w:rPr>
      <w:sz w:val="20"/>
      <w:szCs w:val="20"/>
      <w:lang w:val="en-GB"/>
    </w:rPr>
  </w:style>
  <w:style w:type="paragraph" w:customStyle="1" w:styleId="BodyBullet">
    <w:name w:val="_Body Bullet"/>
    <w:basedOn w:val="Normal"/>
    <w:next w:val="Normal"/>
    <w:link w:val="BodyBulletChar"/>
    <w:qFormat/>
    <w:rsid w:val="00BE3CCB"/>
    <w:pPr>
      <w:numPr>
        <w:numId w:val="1"/>
      </w:numPr>
      <w:spacing w:before="60" w:after="60" w:line="240" w:lineRule="atLeast"/>
    </w:pPr>
    <w:rPr>
      <w:sz w:val="20"/>
      <w:szCs w:val="20"/>
      <w:lang w:val="en-GB"/>
    </w:rPr>
  </w:style>
  <w:style w:type="character" w:styleId="CommentReference">
    <w:name w:val="annotation reference"/>
    <w:basedOn w:val="DefaultParagraphFont"/>
    <w:uiPriority w:val="99"/>
    <w:semiHidden/>
    <w:unhideWhenUsed/>
    <w:rsid w:val="00F62A2A"/>
    <w:rPr>
      <w:sz w:val="16"/>
      <w:szCs w:val="16"/>
    </w:rPr>
  </w:style>
  <w:style w:type="paragraph" w:styleId="CommentText">
    <w:name w:val="annotation text"/>
    <w:basedOn w:val="Normal"/>
    <w:link w:val="CommentTextChar"/>
    <w:uiPriority w:val="99"/>
    <w:unhideWhenUsed/>
    <w:rsid w:val="00F62A2A"/>
    <w:pPr>
      <w:spacing w:line="240" w:lineRule="auto"/>
    </w:pPr>
    <w:rPr>
      <w:rFonts w:cs="Mangal"/>
      <w:sz w:val="20"/>
      <w:szCs w:val="18"/>
    </w:rPr>
  </w:style>
  <w:style w:type="character" w:customStyle="1" w:styleId="CommentTextChar">
    <w:name w:val="Comment Text Char"/>
    <w:basedOn w:val="DefaultParagraphFont"/>
    <w:link w:val="CommentText"/>
    <w:uiPriority w:val="99"/>
    <w:rsid w:val="00F62A2A"/>
    <w:rPr>
      <w:rFonts w:cs="Mangal"/>
      <w:sz w:val="20"/>
      <w:szCs w:val="18"/>
    </w:rPr>
  </w:style>
  <w:style w:type="paragraph" w:styleId="Header">
    <w:name w:val="header"/>
    <w:basedOn w:val="Normal"/>
    <w:link w:val="HeaderChar"/>
    <w:uiPriority w:val="99"/>
    <w:unhideWhenUsed/>
    <w:rsid w:val="00E12137"/>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E12137"/>
    <w:rPr>
      <w:rFonts w:cs="Mangal"/>
      <w:szCs w:val="21"/>
    </w:rPr>
  </w:style>
  <w:style w:type="paragraph" w:styleId="Footer">
    <w:name w:val="footer"/>
    <w:basedOn w:val="Normal"/>
    <w:link w:val="FooterChar"/>
    <w:uiPriority w:val="99"/>
    <w:unhideWhenUsed/>
    <w:rsid w:val="00E12137"/>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E12137"/>
    <w:rPr>
      <w:rFonts w:cs="Mangal"/>
      <w:szCs w:val="21"/>
    </w:rPr>
  </w:style>
  <w:style w:type="paragraph" w:styleId="FootnoteText">
    <w:name w:val="footnote text"/>
    <w:aliases w:val="MAC footnote text"/>
    <w:basedOn w:val="Normal"/>
    <w:link w:val="FootnoteTextChar"/>
    <w:unhideWhenUsed/>
    <w:qFormat/>
    <w:rsid w:val="00BB2462"/>
    <w:pPr>
      <w:widowControl w:val="0"/>
      <w:autoSpaceDE w:val="0"/>
      <w:autoSpaceDN w:val="0"/>
      <w:spacing w:after="0" w:line="240" w:lineRule="auto"/>
    </w:pPr>
    <w:rPr>
      <w:rFonts w:eastAsia="Arial"/>
      <w:sz w:val="20"/>
      <w:szCs w:val="20"/>
      <w:lang w:val="en-US" w:bidi="ar-SA"/>
    </w:rPr>
  </w:style>
  <w:style w:type="character" w:customStyle="1" w:styleId="FootnoteTextChar">
    <w:name w:val="Footnote Text Char"/>
    <w:aliases w:val="MAC footnote text Char"/>
    <w:basedOn w:val="DefaultParagraphFont"/>
    <w:link w:val="FootnoteText"/>
    <w:rsid w:val="00BB2462"/>
    <w:rPr>
      <w:rFonts w:eastAsia="Arial"/>
      <w:sz w:val="20"/>
      <w:szCs w:val="20"/>
      <w:lang w:val="en-US" w:bidi="ar-SA"/>
    </w:rPr>
  </w:style>
  <w:style w:type="character" w:styleId="FootnoteReference">
    <w:name w:val="footnote reference"/>
    <w:aliases w:val="MAC footnote reference"/>
    <w:basedOn w:val="DefaultParagraphFont"/>
    <w:uiPriority w:val="99"/>
    <w:unhideWhenUsed/>
    <w:rsid w:val="00BB2462"/>
    <w:rPr>
      <w:vertAlign w:val="superscript"/>
    </w:rPr>
  </w:style>
  <w:style w:type="character" w:customStyle="1" w:styleId="Heading3Char">
    <w:name w:val="Heading 3 Char"/>
    <w:basedOn w:val="DefaultParagraphFont"/>
    <w:link w:val="Heading3"/>
    <w:uiPriority w:val="9"/>
    <w:semiHidden/>
    <w:rsid w:val="00BB2462"/>
    <w:rPr>
      <w:rFonts w:asciiTheme="majorHAnsi" w:eastAsiaTheme="majorEastAsia" w:hAnsiTheme="majorHAnsi" w:cstheme="majorBidi"/>
      <w:color w:val="1F3763" w:themeColor="accent1" w:themeShade="7F"/>
      <w:szCs w:val="21"/>
      <w:lang w:eastAsia="zh-CN"/>
    </w:rPr>
  </w:style>
  <w:style w:type="paragraph" w:styleId="CommentSubject">
    <w:name w:val="annotation subject"/>
    <w:basedOn w:val="CommentText"/>
    <w:next w:val="CommentText"/>
    <w:link w:val="CommentSubjectChar"/>
    <w:uiPriority w:val="99"/>
    <w:semiHidden/>
    <w:unhideWhenUsed/>
    <w:rsid w:val="009173FF"/>
    <w:rPr>
      <w:b/>
      <w:bCs/>
    </w:rPr>
  </w:style>
  <w:style w:type="character" w:customStyle="1" w:styleId="CommentSubjectChar">
    <w:name w:val="Comment Subject Char"/>
    <w:basedOn w:val="CommentTextChar"/>
    <w:link w:val="CommentSubject"/>
    <w:uiPriority w:val="99"/>
    <w:semiHidden/>
    <w:rsid w:val="009173FF"/>
    <w:rPr>
      <w:rFonts w:cs="Mangal"/>
      <w:b/>
      <w:bCs/>
      <w:sz w:val="20"/>
      <w:szCs w:val="18"/>
    </w:rPr>
  </w:style>
  <w:style w:type="table" w:styleId="TableGrid">
    <w:name w:val="Table Grid"/>
    <w:basedOn w:val="TableNormal"/>
    <w:uiPriority w:val="59"/>
    <w:rsid w:val="0087000F"/>
    <w:pPr>
      <w:widowControl w:val="0"/>
      <w:autoSpaceDE w:val="0"/>
      <w:autoSpaceDN w:val="0"/>
      <w:spacing w:after="0" w:line="240" w:lineRule="auto"/>
    </w:pPr>
    <w:rPr>
      <w:rFonts w:asciiTheme="minorHAnsi" w:eastAsiaTheme="minorEastAsia" w:hAnsiTheme="minorHAnsi" w:cs="Times New Roman"/>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4515"/>
    <w:pPr>
      <w:spacing w:after="0" w:line="240" w:lineRule="auto"/>
    </w:pPr>
    <w:rPr>
      <w:rFonts w:cs="Mangal"/>
      <w:szCs w:val="21"/>
    </w:rPr>
  </w:style>
  <w:style w:type="paragraph" w:styleId="EndnoteText">
    <w:name w:val="endnote text"/>
    <w:basedOn w:val="Normal"/>
    <w:link w:val="EndnoteTextChar"/>
    <w:uiPriority w:val="99"/>
    <w:unhideWhenUsed/>
    <w:rsid w:val="00C359FC"/>
    <w:pPr>
      <w:spacing w:after="0" w:line="240" w:lineRule="auto"/>
    </w:pPr>
    <w:rPr>
      <w:rFonts w:asciiTheme="minorHAnsi" w:eastAsiaTheme="minorEastAsia" w:hAnsiTheme="minorHAnsi" w:cstheme="minorBidi"/>
      <w:sz w:val="20"/>
      <w:szCs w:val="20"/>
      <w:lang w:val="en-GB" w:bidi="ar-SA"/>
    </w:rPr>
  </w:style>
  <w:style w:type="character" w:customStyle="1" w:styleId="EndnoteTextChar">
    <w:name w:val="Endnote Text Char"/>
    <w:basedOn w:val="DefaultParagraphFont"/>
    <w:link w:val="EndnoteText"/>
    <w:uiPriority w:val="99"/>
    <w:rsid w:val="00C359FC"/>
    <w:rPr>
      <w:rFonts w:asciiTheme="minorHAnsi" w:eastAsiaTheme="minorEastAsia" w:hAnsiTheme="minorHAnsi" w:cstheme="minorBidi"/>
      <w:sz w:val="20"/>
      <w:szCs w:val="20"/>
      <w:lang w:val="en-GB" w:bidi="ar-SA"/>
    </w:rPr>
  </w:style>
  <w:style w:type="character" w:styleId="EndnoteReference">
    <w:name w:val="endnote reference"/>
    <w:basedOn w:val="DefaultParagraphFont"/>
    <w:uiPriority w:val="99"/>
    <w:semiHidden/>
    <w:unhideWhenUsed/>
    <w:rsid w:val="00C359FC"/>
    <w:rPr>
      <w:vertAlign w:val="superscript"/>
    </w:rPr>
  </w:style>
  <w:style w:type="paragraph" w:customStyle="1" w:styleId="Default">
    <w:name w:val="Default"/>
    <w:rsid w:val="005F48FA"/>
    <w:pPr>
      <w:autoSpaceDE w:val="0"/>
      <w:autoSpaceDN w:val="0"/>
      <w:adjustRightInd w:val="0"/>
      <w:spacing w:after="0" w:line="240" w:lineRule="auto"/>
    </w:pPr>
    <w:rPr>
      <w:rFonts w:ascii="Credit Suisse Type" w:hAnsi="Credit Suisse Type" w:cs="Credit Suisse Type"/>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90966">
      <w:bodyDiv w:val="1"/>
      <w:marLeft w:val="0"/>
      <w:marRight w:val="0"/>
      <w:marTop w:val="0"/>
      <w:marBottom w:val="0"/>
      <w:divBdr>
        <w:top w:val="none" w:sz="0" w:space="0" w:color="auto"/>
        <w:left w:val="none" w:sz="0" w:space="0" w:color="auto"/>
        <w:bottom w:val="none" w:sz="0" w:space="0" w:color="auto"/>
        <w:right w:val="none" w:sz="0" w:space="0" w:color="auto"/>
      </w:divBdr>
    </w:div>
    <w:div w:id="573047235">
      <w:bodyDiv w:val="1"/>
      <w:marLeft w:val="0"/>
      <w:marRight w:val="0"/>
      <w:marTop w:val="0"/>
      <w:marBottom w:val="0"/>
      <w:divBdr>
        <w:top w:val="none" w:sz="0" w:space="0" w:color="auto"/>
        <w:left w:val="none" w:sz="0" w:space="0" w:color="auto"/>
        <w:bottom w:val="none" w:sz="0" w:space="0" w:color="auto"/>
        <w:right w:val="none" w:sz="0" w:space="0" w:color="auto"/>
      </w:divBdr>
    </w:div>
    <w:div w:id="579219443">
      <w:bodyDiv w:val="1"/>
      <w:marLeft w:val="0"/>
      <w:marRight w:val="0"/>
      <w:marTop w:val="0"/>
      <w:marBottom w:val="0"/>
      <w:divBdr>
        <w:top w:val="none" w:sz="0" w:space="0" w:color="auto"/>
        <w:left w:val="none" w:sz="0" w:space="0" w:color="auto"/>
        <w:bottom w:val="none" w:sz="0" w:space="0" w:color="auto"/>
        <w:right w:val="none" w:sz="0" w:space="0" w:color="auto"/>
      </w:divBdr>
    </w:div>
    <w:div w:id="643779851">
      <w:bodyDiv w:val="1"/>
      <w:marLeft w:val="0"/>
      <w:marRight w:val="0"/>
      <w:marTop w:val="0"/>
      <w:marBottom w:val="0"/>
      <w:divBdr>
        <w:top w:val="none" w:sz="0" w:space="0" w:color="auto"/>
        <w:left w:val="none" w:sz="0" w:space="0" w:color="auto"/>
        <w:bottom w:val="none" w:sz="0" w:space="0" w:color="auto"/>
        <w:right w:val="none" w:sz="0" w:space="0" w:color="auto"/>
      </w:divBdr>
    </w:div>
    <w:div w:id="793794316">
      <w:bodyDiv w:val="1"/>
      <w:marLeft w:val="0"/>
      <w:marRight w:val="0"/>
      <w:marTop w:val="0"/>
      <w:marBottom w:val="0"/>
      <w:divBdr>
        <w:top w:val="none" w:sz="0" w:space="0" w:color="auto"/>
        <w:left w:val="none" w:sz="0" w:space="0" w:color="auto"/>
        <w:bottom w:val="none" w:sz="0" w:space="0" w:color="auto"/>
        <w:right w:val="none" w:sz="0" w:space="0" w:color="auto"/>
      </w:divBdr>
    </w:div>
    <w:div w:id="1728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1B8F-B576-4403-8458-A0E739A6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Rehayem</dc:creator>
  <cp:keywords/>
  <dc:description/>
  <cp:lastModifiedBy>Therese McGrath</cp:lastModifiedBy>
  <cp:revision>2</cp:revision>
  <cp:lastPrinted>2025-08-19T04:27:00Z</cp:lastPrinted>
  <dcterms:created xsi:type="dcterms:W3CDTF">2025-08-21T02:17:00Z</dcterms:created>
  <dcterms:modified xsi:type="dcterms:W3CDTF">2025-08-21T02:17:00Z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a39f61-9a8d-4c58-aba5-affc39e9860d_Enabled">
    <vt:lpwstr>true</vt:lpwstr>
  </property>
  <property fmtid="{D5CDD505-2E9C-101B-9397-08002B2CF9AE}" pid="3" name="MSIP_Label_b6a39f61-9a8d-4c58-aba5-affc39e9860d_SetDate">
    <vt:lpwstr>2022-08-20T12:01:40Z</vt:lpwstr>
  </property>
  <property fmtid="{D5CDD505-2E9C-101B-9397-08002B2CF9AE}" pid="4" name="MSIP_Label_b6a39f61-9a8d-4c58-aba5-affc39e9860d_Method">
    <vt:lpwstr>Privileged</vt:lpwstr>
  </property>
  <property fmtid="{D5CDD505-2E9C-101B-9397-08002B2CF9AE}" pid="5" name="MSIP_Label_b6a39f61-9a8d-4c58-aba5-affc39e9860d_Name">
    <vt:lpwstr>Confidential</vt:lpwstr>
  </property>
  <property fmtid="{D5CDD505-2E9C-101B-9397-08002B2CF9AE}" pid="6" name="MSIP_Label_b6a39f61-9a8d-4c58-aba5-affc39e9860d_SiteId">
    <vt:lpwstr>9c4a6e52-9234-4976-a921-ff37596a2a0a</vt:lpwstr>
  </property>
  <property fmtid="{D5CDD505-2E9C-101B-9397-08002B2CF9AE}" pid="7" name="MSIP_Label_b6a39f61-9a8d-4c58-aba5-affc39e9860d_ActionId">
    <vt:lpwstr>83824647-8f79-4b19-8a35-9bc51aa8ad36</vt:lpwstr>
  </property>
  <property fmtid="{D5CDD505-2E9C-101B-9397-08002B2CF9AE}" pid="8" name="MSIP_Label_b6a39f61-9a8d-4c58-aba5-affc39e9860d_ContentBits">
    <vt:lpwstr>0</vt:lpwstr>
  </property>
</Properties>
</file>